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BeschGebV (Bayern) — Gebührenart und -höhe</w:t>
      </w:r>
    </w:p>
    <w:p>
      <w:r>
        <w:rPr>
          <w:color w:val="555555"/>
          <w:sz w:val="18"/>
        </w:rPr>
        <w:t xml:space="preserve">Beschussgebührenverordnung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Gebühren werden in Form von Festgebühren oder Zeitgebühren erhoben.</w:t>
      </w:r>
    </w:p>
    <w:p>
      <w:r>
        <w:t xml:space="preserve">(2) Festgebühren werden für die in der Anlage aufgelisteten Prüfungen erhoben.</w:t>
      </w:r>
    </w:p>
    <w:p>
      <w:r>
        <w:t xml:space="preserve">(3) Zeitgebühren werden erhoben für</w:t>
      </w:r>
    </w:p>
    <w:p>
      <w:r>
        <w:t xml:space="preserve">1. die Beschussprüfung nach § 5 des Beschussgesetzes (BeschG)</w:t>
      </w:r>
    </w:p>
    <w:p>
      <w:r>
        <w:t xml:space="preserve">a) bei Handfeuerwaffen, Einsteckläufen und Austauschläufen, bei denen zum Antrieb des Geschosses ein entzündbares flüssiges oder gasförmiges Gemisch verwendet wird,</w:t>
      </w:r>
    </w:p>
    <w:p>
      <w:r>
        <w:t xml:space="preserve">b) bei nicht der Beschusspflicht unterliegenden Gegenständen,</w:t>
      </w:r>
    </w:p>
    <w:p>
      <w:r>
        <w:t xml:space="preserve">c) wenn die Prüfung einen den üblichen Umfang erheblich übersteigenden Mehraufwand verursacht oder bei Schusswaffen, deren Patronenlager oder Innenabmessungen nicht in den aktuellen beschussrechtlichen Maßtafeln enthalten sind,</w:t>
      </w:r>
    </w:p>
    <w:p>
      <w:r>
        <w:t xml:space="preserve">d) bei Böllern und Modellkanonen,</w:t>
      </w:r>
    </w:p>
    <w:p>
      <w:r>
        <w:t xml:space="preserve">2. die im Zulassungsverfahren erforderliche Prüfung nach § 9 BeschG in Verbindung mit § 11 der Beschussverordnung (BeschussV), insbesondere von Deko- und Salutwaffen sowie Schusswaffen, deren Geschosse eine Bewegungsenergie von 7,5 Joule nicht übersteigen dürfen,</w:t>
      </w:r>
    </w:p>
    <w:p>
      <w:r>
        <w:t xml:space="preserve">3. die Zulassung und Kontrolle von Munition nach § 11 BeschG in Verbindung mit den Abschnitten 7 und 8 BeschussV,</w:t>
      </w:r>
    </w:p>
    <w:p>
      <w:r>
        <w:t xml:space="preserve">4. die Prüfung bei der Entscheidung über Ausnahmen nach § 13 BeschG,</w:t>
      </w:r>
    </w:p>
    <w:p>
      <w:r>
        <w:t xml:space="preserve">5. weitere Inanspruchnahmen im Sinn des § 1 Abs. 1, die in der Anlage nicht enthalten sind.</w:t>
      </w:r>
    </w:p>
    <w:p>
      <w:r>
        <w:t xml:space="preserve">Für die Berechnung der Zeitgebühren werden die Stundensätze nach Anlage 2 Themenbereich 14 „Sonstige Leistungen“, Organisationseinheit „Wissenschaftlicher Gerätebau und andere Organisationseinheiten ohne bzw. mit geringer bis mittlerer technischer Ausstattung“ der PTB Besondere Gebührenverordnung vom 8. Juni 2021 (BGBl. I S. 1717) in der jeweils geltenden Fassung zugrunde gelegt.</w:t>
      </w:r>
    </w:p>
    <w:p>
      <w:r>
        <w:t xml:space="preserve">(4) Werden Prüfungen außerhalb der Dienststelle durchgeführt, gehören zu dem gebührenpflichtigen Verwaltungsaufwand auch Reisezeiten und von dem Kostenschuldner verursachte Wartezeiten.</w:t>
      </w:r>
    </w:p>
    <w:p>
      <w:r>
        <w:rPr>
          <w:color w:val="555555"/>
          <w:sz w:val="17"/>
        </w:rPr>
        <w:t xml:space="preserve">Zitiervorschlag: § 2 BeschGebV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https://recht.nulegal.eu/gesetze/BeschGebV/2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