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BeschG — Zulassung von Schreckschuss-, Reizstoff- und Signalwaffen</w:t>
      </w:r>
    </w:p>
    <w:p>
      <w:r>
        <w:rPr>
          <w:color w:val="555555"/>
          <w:sz w:val="18"/>
        </w:rPr>
        <w:t xml:space="preserve">Beschussgesetz</w:t>
      </w:r>
    </w:p>
    <w:p>
      <w:r>
        <w:rPr>
          <w:color w:val="555555"/>
          <w:sz w:val="18"/>
        </w:rPr>
        <w:t xml:space="preserve">Stand: 01.09.2020 (konsolidierte Textfassung, kein amtliches Inkrafttretensdatum)</w:t>
      </w:r>
    </w:p>
    <w:p>
      <w:r>
        <w:t xml:space="preserve">(1) Schusswaffen mit einem Patronen- oder Kartuschenlager bis 12,5 Millimeter Durchmesser und tragbare Geräte nach § 2 Absatz 1 Nummer 2 ohne Patronen- oder Kartuschenlager, die zum</w:t>
      </w:r>
    </w:p>
    <w:p>
      <w:pPr>
        <w:ind w:left="420"/>
      </w:pPr>
      <w:r>
        <w:t xml:space="preserve">1. Abschießen von Kartuschenmunition,</w:t>
      </w:r>
    </w:p>
    <w:p>
      <w:pPr>
        <w:ind w:left="420"/>
      </w:pPr>
      <w:r>
        <w:t xml:space="preserve">2. Verschießen von Reiz- oder anderen Wirkstoffen oder</w:t>
      </w:r>
    </w:p>
    <w:p>
      <w:pPr>
        <w:ind w:left="420"/>
      </w:pPr>
      <w:r>
        <w:t xml:space="preserve">3. Verschießen von pyrotechnischer Munition</w:t>
      </w:r>
    </w:p>
    <w:p>
      <w:r>
        <w:t xml:space="preserve">bestimmt sind, sowie Zusatzgeräte zu diesen Waffen zum Verschießen pyrotechnischer Geschosse dürfen nur dann in den Geltungsbereich dieses Gesetzes verbracht oder gewerbsmäßig hergestellt werden, wenn sie ihrer Bauart und Bezeichnung nach von der zuständigen Stelle im Geltungsbereich dieses Gesetzes zugelassen sind. Der Zulassung nach Satz 1 steht gleich, wenn sie den Rechtsvorschriften eines anderen Mitgliedstaates entsprechen, die dieser der Europäischen Kommission nach Artikel 4 Absatz 2 der Durchführungsrichtlinie (EU) 2019/69 der Kommission vom 16. Januar 2019 zur Festlegung technischer Spezifikationen für Schreckschuss- und Signalwaffen gemäß der Richtlinie 91/477/EWG des Rates über die Kontrolle des Erwerbs und des Besitzes von Waffen als Maßnahme zur Umsetzung dieser Durchführungsrichtlinie mitgeteilt hat.</w:t>
      </w:r>
    </w:p>
    <w:p>
      <w:r>
        <w:t xml:space="preserve">(2) Die Zulassung ist zu versagen, wenn</w:t>
      </w:r>
    </w:p>
    <w:p>
      <w:pPr>
        <w:ind w:left="420"/>
      </w:pPr>
      <w:r>
        <w:t xml:space="preserve">1. Patronenmunition in den freien Raum abgeschossen werden kann und die Geschosse mehr als 7,5 Joule (J) erreichen,</w:t>
      </w:r>
    </w:p>
    <w:p>
      <w:pPr>
        <w:ind w:left="420"/>
      </w:pPr>
      <w:r>
        <w:t xml:space="preserve">2. vorgeladene Geschosse verschossen werden können und ihnen eine Bewegungsenergie von mehr als 7,5 Joule (J) erteilt wird,</w:t>
      </w:r>
    </w:p>
    <w:p>
      <w:pPr>
        <w:ind w:left="420"/>
      </w:pPr>
      <w:r>
        <w:t xml:space="preserve">3. der Gaslauf der Waffe einen Innendurchmesser von weniger als 7 Millimeter hat,</w:t>
      </w:r>
    </w:p>
    <w:p>
      <w:pPr>
        <w:ind w:left="420"/>
      </w:pPr>
      <w:r>
        <w:t xml:space="preserve">4. mit der Waffe nach Umarbeitung mit allgemein gebräuchlichen Werkzeugen die in Nummer 1 oder 2 bezeichnete Wirkung erreicht werden kann,</w:t>
      </w:r>
    </w:p>
    <w:p>
      <w:pPr>
        <w:ind w:left="420"/>
      </w:pPr>
      <w:r>
        <w:t xml:space="preserve">5. die Waffe oder das Zusatzgerät den technischen Anforderungen an die Bauart nicht entspricht oder</w:t>
      </w:r>
    </w:p>
    <w:p>
      <w:pPr>
        <w:ind w:left="420"/>
      </w:pPr>
      <w:r>
        <w:t xml:space="preserve">6. den Anforderungen einer Rechtsverordnung nach § 14 Abs. 3 entsprechende Patronenmunition nach den Maßtafeln in die Kartuschenlager geladen und darin abgefeuert werden kann.</w:t>
      </w:r>
    </w:p>
    <w:p>
      <w:r>
        <w:t xml:space="preserve">(3) Hat die Schusswaffe ein Patronen- oder Kartuschenlager mit einem Durchmesser kleiner als 6 Millimeter und einer Länge kleiner als 7 Millimeter, so ist die Zulassung der Bauart ferner zu versagen, wenn die Bauart nicht haltbar, nicht funktionssicher oder nicht maßhaltig ist. Das Gleiche gilt für höchstbeanspruchte Teile von Handfeuerwaffen nach § 2 Abs. 2 Satz 2 Nr. 1 bis 3, die zum einmaligen Gebrauch bestimmt sind.</w:t>
      </w:r>
    </w:p>
    <w:p>
      <w:r>
        <w:rPr>
          <w:color w:val="555555"/>
          <w:sz w:val="17"/>
        </w:rPr>
        <w:t xml:space="preserve">Zitiervorschlag: § 8 BeschG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https://recht.nulegal.eu/gesetze/BeschG/8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