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BeschG — Prüfzeichen</w:t>
      </w:r>
    </w:p>
    <w:p>
      <w:r>
        <w:rPr>
          <w:color w:val="555555"/>
          <w:sz w:val="18"/>
        </w:rPr>
        <w:t xml:space="preserve">Beschussgesetz</w:t>
      </w:r>
    </w:p>
    <w:p>
      <w:r>
        <w:rPr>
          <w:color w:val="555555"/>
          <w:sz w:val="18"/>
        </w:rPr>
        <w:t xml:space="preserve">Stand: 10.06.2019 (konsolidierte Textfassung, kein amtliches Inkrafttretensdatum)</w:t>
      </w:r>
    </w:p>
    <w:p>
      <w:r>
        <w:t xml:space="preserve">(1) Feuerwaffen, Böller und deren höchstbeanspruchte Teile sind mit dem amtlichen Beschusszeichen zu versehen, wenn sie mindestens weißfertig sind und die Beschussprüfung keine Beanstandung ergeben hat. Andernfalls sind sie mit dem amtlichen Rückgabezeichen zu versehen. Höchstbeanspruchte Teile, die nicht mehr instand gesetzt werden können, sind als unbrauchbar zu kennzeichnen.</w:t>
      </w:r>
    </w:p>
    <w:p>
      <w:r>
        <w:t xml:space="preserve">(2) In den Fällen des § 4 Abs. 1 Nr. 3 Buchstabe d sind die Gegenstände mit einem Prüfzeichen der jeweils zuständigen Stelle zu versehen.</w:t>
      </w:r>
    </w:p>
    <w:p>
      <w:r>
        <w:rPr>
          <w:color w:val="555555"/>
          <w:sz w:val="17"/>
        </w:rPr>
        <w:t xml:space="preserve">Zitiervorschlag: § 6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