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BeschG — Beschussprüfung</w:t>
      </w:r>
    </w:p>
    <w:p>
      <w:r>
        <w:rPr>
          <w:color w:val="555555"/>
          <w:sz w:val="18"/>
        </w:rPr>
        <w:t xml:space="preserve">Beschussgesetz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Bei dem Beschuss von Feuerwaffen ist zu prüfen, ob</w:t>
      </w:r>
    </w:p>
    <w:p>
      <w:pPr>
        <w:ind w:left="420"/>
      </w:pPr>
      <w:r>
        <w:t xml:space="preserve">1. die höchstbeanspruchten Teile der Feuerwaffe der Beanspruchung standhalten, der sie bei der Verwendung der zugelassenen Munition oder der festgelegten Ladung ausgesetzt werden (Haltbarkeit),</w:t>
      </w:r>
    </w:p>
    <w:p>
      <w:pPr>
        <w:ind w:left="420"/>
      </w:pPr>
      <w:r>
        <w:t xml:space="preserve">2. die Verschlusseinrichtung, die Sicherung und die Zündeinrichtung sowie bei halbautomatischen Schusswaffen der Lademechanismus einwandfrei arbeiten und die Waffe sicher geladen, geschlossen und abgefeuert werden kann (Funktionssicherheit),</w:t>
      </w:r>
    </w:p>
    <w:p>
      <w:pPr>
        <w:ind w:left="420"/>
      </w:pPr>
      <w:r>
        <w:t xml:space="preserve">3. die Abmessungen des Patronen- oder Kartuschenlagers, der Verschlussabstand, die Maße des Übergangs, der Feld- und Zugdurchmesser oder des Laufquerschnitts bei gezogenen Läufen und der Laufinnendurchmesser bei glatten Läufen den Nenngrößen einer nach § 14 Abs. 1 Nr. 1 erlassenen Rechtsverordnung entsprechen (Maßhaltigkeit) und</w:t>
      </w:r>
    </w:p>
    <w:p>
      <w:pPr>
        <w:ind w:left="420"/>
      </w:pPr>
      <w:r>
        <w:t xml:space="preserve">4. die nach § 24 Abs. 1 und 2 des Waffengesetzes vom 11. Oktober 2002 (BGBl. I S. 3970) oder die auf Grund einer Rechtsverordnung nach § 25 des Waffengesetzes vorgeschriebene Kennzeichnung auf der Waffe angebracht ist.</w:t>
      </w:r>
    </w:p>
    <w:p>
      <w:r>
        <w:t xml:space="preserve">(2) Auf Antrag ist der Beschuss von Schusswaffen mit glatten Läufen mit einem erhöhten Gasdruck (verstärkter Beschuss) oder mit Stahlschrotmunition vorzunehmen.</w:t>
      </w:r>
    </w:p>
    <w:p>
      <w:r>
        <w:t xml:space="preserve">(3) Bei dem Beschuss von Böllern ist zu prüfen, ob</w:t>
      </w:r>
    </w:p>
    <w:p>
      <w:pPr>
        <w:ind w:left="420"/>
      </w:pPr>
      <w:r>
        <w:t xml:space="preserve">1. die höchstbeanspruchten Teile der Beanspruchung standhalten, der sie bei der Verwendung der vorgeschriebenen Ladung ausgesetzt werden (Haltbarkeit),</w:t>
      </w:r>
    </w:p>
    <w:p>
      <w:pPr>
        <w:ind w:left="420"/>
      </w:pPr>
      <w:r>
        <w:t xml:space="preserve">2. die Verschlusseinrichtung und die Abzugseinrichtung einwandfrei arbeiten und der Böller sicher geladen, geschlossen und abgefeuert werden kann (Funktionssicherheit),</w:t>
      </w:r>
    </w:p>
    <w:p>
      <w:pPr>
        <w:ind w:left="420"/>
      </w:pPr>
      <w:r>
        <w:t xml:space="preserve">3. die Rohrinnendurchmesser, Länge und Durchmesser des Kartuschenlagers, der Zündkanaldurchmesser den Bestimmungen einer nach § 14 Abs. 1 Nr. 1 erlassenen Rechtsverordnung entsprechen (Maßhaltigkeit),</w:t>
      </w:r>
    </w:p>
    <w:p>
      <w:pPr>
        <w:ind w:left="420"/>
      </w:pPr>
      <w:r>
        <w:t xml:space="preserve">4. die durch eine Rechtsverordnung nach § 14 Abs. 1 Nr. 3 des Gesetzes vorgeschriebene Kennzeichnung auf dem Böller angebracht ist.</w:t>
      </w:r>
    </w:p>
    <w:p>
      <w:r>
        <w:rPr>
          <w:color w:val="555555"/>
          <w:sz w:val="17"/>
        </w:rPr>
        <w:t xml:space="preserve">Zitiervorschlag: § 5 BeschG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