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BeschG — Beschusspflicht für Feuerwaffen und Böller</w:t>
      </w:r>
    </w:p>
    <w:p>
      <w:r>
        <w:rPr>
          <w:color w:val="555555"/>
          <w:sz w:val="18"/>
        </w:rPr>
        <w:t xml:space="preserve">Beschussgesetz</w:t>
      </w:r>
    </w:p>
    <w:p>
      <w:r>
        <w:rPr>
          <w:color w:val="555555"/>
          <w:sz w:val="18"/>
        </w:rPr>
        <w:t xml:space="preserve">Stand: 10.06.2019 (konsolidierte Textfassung, kein amtliches Inkrafttretensdatum)</w:t>
      </w:r>
    </w:p>
    <w:p>
      <w:r>
        <w:t xml:space="preserve">(1) Wer Feuerwaffen, Böller sowie höchstbeanspruchte Teile, die ohne Nacharbeit ausgetauscht werden können, herstellt oder in den Geltungsbereich dieses Gesetzes verbringt, hat sie, bevor er sie in den Verkehr bringt, durch Beschuss amtlich prüfen zu lassen. Satz 1 gilt nicht für Gasböller, die gemäß § 7 Abs. 1 Satz 1 in ihrer Bauart und Bezeichnung zugelassen sind. Wird eine Feuerwaffe aus bereits geprüften höchstbeanspruchten Teilen zusammengesetzt, so gilt Satz 1 entsprechend, wenn einzelne Teile zu ihrer Einpassung der Nacharbeit bedürfen oder nicht mit dem für diese Waffe vorgeschriebenen Beschussgasdruck beschossen sind.</w:t>
      </w:r>
    </w:p>
    <w:p>
      <w:r>
        <w:t xml:space="preserve">(2) Wer an einer Feuerwaffe oder einem Böller, die nach Absatz 1 geprüft sind, ein höchstbeanspruchtes Teil austauscht, verändert oder instand setzt, hat den Gegenstand erneut durch Beschuss amtlich prüfen zu lassen. Dies gilt nicht für Feuerwaffen, deren höchstbeanspruchte Teile ohne Nacharbeit lediglich ausgetauscht worden sind, sofern alle höchstbeanspruchten Teile mit dem für diese Waffen vorgeschriebenen Beschussgasdruck beschossen worden sind.</w:t>
      </w:r>
    </w:p>
    <w:p>
      <w:r>
        <w:rPr>
          <w:color w:val="555555"/>
          <w:sz w:val="17"/>
        </w:rPr>
        <w:t xml:space="preserve">Zitiervorschlag: § 3 BeschG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