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BeschG — Bußgeldvorschriften</w:t>
      </w:r>
    </w:p>
    <w:p>
      <w:r>
        <w:rPr>
          <w:color w:val="555555"/>
          <w:sz w:val="18"/>
        </w:rPr>
        <w:t xml:space="preserve">Beschussgesetz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3 Abs. 1 Satz 1, auch in Verbindung mit Satz 3, oder Abs. 2 Satz 1, jeweils auch in Verbindung mit einer Rechtsverordnung nach § 14 Abs. 1 Nr. 5, einen dort genannten Gegenstand nicht oder nicht rechtzeitig durch Beschuss amtlich prüfen lässt,</w:t>
      </w:r>
    </w:p>
    <w:p>
      <w:pPr>
        <w:ind w:left="420"/>
      </w:pPr>
      <w:r>
        <w:t xml:space="preserve">2. entgegen § 7 Abs. 1 Satz 1, auch in Verbindung mit Satz 2, oder § 8 Abs. 1, jeweils auch in Verbindung mit einer Rechtsverordnung nach § 14 Abs. 2 Satz 1 Nr. 4, oder entgegen § 10 Abs. 1 einen dort genannten Gegenstand in den Geltungsbereich dieses Gesetzes verbringt oder gewerbsmäßig herstellt,</w:t>
      </w:r>
    </w:p>
    <w:p>
      <w:pPr>
        <w:ind w:left="420"/>
      </w:pPr>
      <w:r>
        <w:t xml:space="preserve">2a. entgegen § 8a Absatz 1 Satz 1 eine unbrauchbar gemachte Schusswaffe nicht oder nicht rechtzeitig vorlegt,</w:t>
      </w:r>
    </w:p>
    <w:p>
      <w:pPr>
        <w:ind w:left="420"/>
      </w:pPr>
      <w:r>
        <w:t xml:space="preserve">3. entgegen § 9 Abs. 1 Satz 1 oder Abs. 2 Satz 1 eine Anzeige nicht, nicht richtig, nicht vollständig, nicht in der vorgeschriebenen Weise oder nicht rechtzeitig erstattet,</w:t>
      </w:r>
    </w:p>
    <w:p>
      <w:pPr>
        <w:ind w:left="420"/>
      </w:pPr>
      <w:r>
        <w:t xml:space="preserve">4. entgegen § 10 Abs. 2 Satz 1 Verwendungshinweise nicht oder nicht richtig anbringt,</w:t>
      </w:r>
    </w:p>
    <w:p>
      <w:pPr>
        <w:ind w:left="420"/>
      </w:pPr>
      <w:r>
        <w:t xml:space="preserve">5. entgegen § 11 Abs. 1 die dort genannte Munition anderen überlässt oder gewerbsmäßig vertreibt,</w:t>
      </w:r>
    </w:p>
    <w:p>
      <w:pPr>
        <w:ind w:left="420"/>
      </w:pPr>
      <w:r>
        <w:t xml:space="preserve">6. entgegen § 12 Abs. 1 Satz 1 einen dort genannten Gegenstand oder einen Einstecklauf anderen überlässt oder entgegen § 12 Abs. 2 einen dort genannten Gegenstand gewerbsmäßig anderen überlässt,</w:t>
      </w:r>
    </w:p>
    <w:p>
      <w:pPr>
        <w:ind w:left="420"/>
      </w:pPr>
      <w:r>
        <w:t xml:space="preserve">7. entgegen § 17 Abs. 1 Satz 1 eine Auskunft nicht, nicht richtig, nicht vollständig oder nicht rechtzeitig erteilt,</w:t>
      </w:r>
    </w:p>
    <w:p>
      <w:pPr>
        <w:ind w:left="420"/>
      </w:pPr>
      <w:r>
        <w:t xml:space="preserve">8. entgegen § 17 Abs. 2 Satz 3 eine dort genannte Maßnahme nicht duldet, eine dort genannte Person nicht unterstützt oder eine Geschäftsunterlage nicht oder nicht rechtzeitig vorlegt,</w:t>
      </w:r>
    </w:p>
    <w:p>
      <w:pPr>
        <w:ind w:left="420"/>
      </w:pPr>
      <w:r>
        <w:t xml:space="preserve">9. einer vollziehbaren Anordnung nach § 17 Abs. 3 zuwiderhandelt,</w:t>
      </w:r>
    </w:p>
    <w:p>
      <w:pPr>
        <w:ind w:left="420"/>
      </w:pPr>
      <w:r>
        <w:t xml:space="preserve">10. einer vollziehbaren Auflage nach § 18 Abs. 1 zuwiderhandelt, wenn diese nicht bereits nach einer anderen Vorschrift bewehrt ist, oder</w:t>
      </w:r>
    </w:p>
    <w:p>
      <w:pPr>
        <w:ind w:left="420"/>
      </w:pPr>
      <w:r>
        <w:t xml:space="preserve">11. einer Rechtsverordnung nach</w:t>
      </w:r>
    </w:p>
    <w:p>
      <w:pPr>
        <w:ind w:left="780"/>
      </w:pPr>
      <w:r>
        <w:t xml:space="preserve">a) § 14 Abs. 2 Satz 1 Nr. 3 oder 5 Buchstabe a, b, d, f oder g oder</w:t>
      </w:r>
    </w:p>
    <w:p>
      <w:pPr>
        <w:ind w:left="780"/>
      </w:pPr>
      <w:r>
        <w:t xml:space="preserve">b) § 14 Abs. 2 Satz 1 Nr. 5 Buchstabe c</w:t>
      </w:r>
    </w:p>
    <w:p>
      <w:pPr>
        <w:ind w:left="420"/>
      </w:pPr>
      <w:r>
        <w:t xml:space="preserve">oder einer auf Grund einer Rechtsverordnung erlassenen vollziehbaren Anordnung zuwiderhandelt, soweit die Rechtsverordnung für einen bestimmten Tatbestand auf diese Bußgeldvorschrift verweist.</w:t>
      </w:r>
    </w:p>
    <w:p>
      <w:r>
        <w:t xml:space="preserve">(2) Die Ordnungswidrigkeit kann in den Fällen des Absatzes 1 Nr. 3, 4, 7, 8, 9 oder 11 Buchstabe b mit einer Geldbuße bis zu zwanzigtausend Euro, in den übrigen Fällen mit einer Geldbuße bis zu fünfzigtausend Euro geahndet werden.</w:t>
      </w:r>
    </w:p>
    <w:p>
      <w:r>
        <w:t xml:space="preserve">(3) Verwaltungsbehörde im Sinne des § 36 Abs. 1 Nr. 1 des Gesetzes über Ordnungswidrigkeiten ist die nach § 48 Abs. 1 des Waffengesetzes zuständige Behörde.</w:t>
      </w:r>
    </w:p>
    <w:p>
      <w:r>
        <w:rPr>
          <w:color w:val="555555"/>
          <w:sz w:val="17"/>
        </w:rPr>
        <w:t xml:space="preserve">Zitiervorschlag: § 21 BeschG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