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BeschG — Inhaltliche Beschränkungen, Nebenbestimmungen und Anordnungen</w:t>
      </w:r>
    </w:p>
    <w:p>
      <w:r>
        <w:rPr>
          <w:color w:val="555555"/>
          <w:sz w:val="18"/>
        </w:rPr>
        <w:t xml:space="preserve">Beschussgesetz</w:t>
      </w:r>
    </w:p>
    <w:p>
      <w:r>
        <w:rPr>
          <w:color w:val="555555"/>
          <w:sz w:val="18"/>
        </w:rPr>
        <w:t xml:space="preserve">Stand: 10.06.2019 (konsolidierte Textfassung, kein amtliches Inkrafttretensdatum)</w:t>
      </w:r>
    </w:p>
    <w:p>
      <w:r>
        <w:t xml:space="preserve">(1) Zulassungen und andere Erlaubnisse nach diesem Gesetz können inhaltlich beschränkt werden, um Leben oder Gesundheit von Menschen gegen die aus dem Umgang mit Gegenständen im Sinne dieses Gesetzes entstehenden Gefahren zu schützen. Zu den in Satz 1 genannten Zwecken können Zulassungen und andere Erlaubnisse befristet oder mit Auflagen verbunden werden; die Auflagen können nachträglich aufgenommen, geändert und ergänzt werden.</w:t>
      </w:r>
    </w:p>
    <w:p>
      <w:r>
        <w:t xml:space="preserve">(2) Die zuständige Behörde kann im Einzelfall die Anordnungen treffen, die zur Beseitigung festgestellter oder zur Verhütung künftiger Verstöße gegen dieses Gesetz oder gegen die auf Grund dieses Gesetzes erlassenen Rechtsverordnungen notwendig sind. Sie kann insbesondere die weitere Herstellung und den Vertrieb von Gegenständen im Sinne dieses Gesetzes ganz oder teilweise untersagen, wenn</w:t>
      </w:r>
    </w:p>
    <w:p>
      <w:pPr>
        <w:ind w:left="420"/>
      </w:pPr>
      <w:r>
        <w:t xml:space="preserve">1. eine erforderliche Zulassung oder andere Erlaubnis nicht vorliegt oder die hergestellten Gegenstände nicht der Zulassung oder anderen Erlaubnis entsprechen,</w:t>
      </w:r>
    </w:p>
    <w:p>
      <w:pPr>
        <w:ind w:left="420"/>
      </w:pPr>
      <w:r>
        <w:t xml:space="preserve">2. ein Grund zur Rücknahme oder zum Widerruf einer Zulassung nach den Verwaltungsverfahrensgesetzen gegeben ist,</w:t>
      </w:r>
    </w:p>
    <w:p>
      <w:pPr>
        <w:ind w:left="420"/>
      </w:pPr>
      <w:r>
        <w:t xml:space="preserve">3. gegen Nebenbestimmungen oder Auflagen nach Absatz 1 verstoßen wird oder</w:t>
      </w:r>
    </w:p>
    <w:p>
      <w:pPr>
        <w:ind w:left="420"/>
      </w:pPr>
      <w:r>
        <w:t xml:space="preserve">4. diese Gegenstände Gefahren für Leib oder Gesundheit des Benutzers oder Dritter hervorrufen.</w:t>
      </w:r>
    </w:p>
    <w:p>
      <w:r>
        <w:rPr>
          <w:color w:val="555555"/>
          <w:sz w:val="17"/>
        </w:rPr>
        <w:t xml:space="preserve">Zitiervorschlag: § 18 BeschG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