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BeschG — Auskunftspflichten und besondere behördliche Befugnisse im Rahmen der Überwachung</w:t>
      </w:r>
    </w:p>
    <w:p>
      <w:r>
        <w:rPr>
          <w:color w:val="555555"/>
          <w:sz w:val="18"/>
        </w:rPr>
        <w:t xml:space="preserve">Beschussgesetz</w:t>
      </w:r>
    </w:p>
    <w:p>
      <w:r>
        <w:rPr>
          <w:color w:val="555555"/>
          <w:sz w:val="18"/>
        </w:rPr>
        <w:t xml:space="preserve">Stand: 10.06.2019 (konsolidierte Textfassung, kein amtliches Inkrafttretensdatum)</w:t>
      </w:r>
    </w:p>
    <w:p>
      <w:r>
        <w:t xml:space="preserve">(1) Wer mit Gegenständen im Sinne dieses Gesetzes umgeht, insbesondere die Herstellung und den Vertrieb von diesen Gegenständen betreibt, hat der zuständigen Behörde auf Verlangen die für die Überwachung erforderlichen Auskünfte zu erteilen. Auskunftspflichtige Personen können die Auskunft auf solche Fragen verweigern, deren Beantwortung sie selbst oder einen ihrer in § 383 Abs. 1 Nr. 1 bis 3 der Zivilprozessordnung bezeichneten Angehörigen der Gefahr der Verfolgung wegen einer Straftat oder einer Ordnungswidrigkeit aussetzen würde.</w:t>
      </w:r>
    </w:p>
    <w:p>
      <w:r>
        <w:t xml:space="preserve">(2) Die mit der Überwachung beauftragten Personen sind befugt,</w:t>
      </w:r>
    </w:p>
    <w:p>
      <w:pPr>
        <w:ind w:left="420"/>
      </w:pPr>
      <w:r>
        <w:t xml:space="preserve">1. zu den Betriebs- und Geschäftszeiten die der Herstellung oder dem Vertrieb dieser Gegenstände dienenden Grundstücke, Betriebsanlagen und Geschäftsräume zu betreten und zu besichtigen,</w:t>
      </w:r>
    </w:p>
    <w:p>
      <w:pPr>
        <w:ind w:left="420"/>
      </w:pPr>
      <w:r>
        <w:t xml:space="preserve">2. alle zur Erfüllung ihrer Aufgaben erforderlichen Prüfungen einschließlich der Entnahme von Proben durchzuführen,</w:t>
      </w:r>
    </w:p>
    <w:p>
      <w:pPr>
        <w:ind w:left="420"/>
      </w:pPr>
      <w:r>
        <w:t xml:space="preserve">3. die zur Erfüllung ihrer Aufgaben erforderlichen Unterlagen einzusehen und hieraus Ablichtungen oder Abschriften zu fertigen.</w:t>
      </w:r>
    </w:p>
    <w:p>
      <w:r>
        <w:t xml:space="preserve">Zur Verhütung dringender Gefahren für die öffentliche Sicherheit und Ordnung können Maßnahmen nach Satz 1 auch in Wohnräumen und zu jeder Tages- und Nachtzeit getroffen werden. Der Betreiber ist verpflichtet, Maßnahmen nach Satz 1 Nr. 1 und 2 und nach Satz 2 zu dulden, die mit der Überwachung beauftragten Personen zu unterstützen, soweit dies zur Erfüllung ihrer Aufgaben erforderlich ist, sowie die erforderlichen Geschäftsunterlagen auf Verlangen vorzulegen. Das Grundrecht der Unverletzlichkeit der Wohnung (Artikel 13 des Grundgesetzes) wird insoweit eingeschränkt.</w:t>
      </w:r>
    </w:p>
    <w:p>
      <w:r>
        <w:t xml:space="preserve">(3) Aus begründetem Anlass kann die zuständige Behörde anordnen, dass der Inhaber der tatsächlichen Gewalt über einen diesem Gesetz unterliegenden Gegenstand ihr diesen binnen angemessener, von ihr zu bestimmender Frist zur Prüfung vorzeigt.</w:t>
      </w:r>
    </w:p>
    <w:p>
      <w:r>
        <w:rPr>
          <w:color w:val="555555"/>
          <w:sz w:val="17"/>
        </w:rPr>
        <w:t xml:space="preserve">Zitiervorschlag: § 17 BeschG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https://recht.nulegal.eu/gesetze/BeschG/17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