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BeschG — Ermächtigungen</w:t>
      </w:r>
    </w:p>
    <w:p>
      <w:r>
        <w:rPr>
          <w:color w:val="555555"/>
          <w:sz w:val="18"/>
        </w:rPr>
        <w:t xml:space="preserve">Beschussgesetz</w:t>
      </w:r>
    </w:p>
    <w:p>
      <w:r>
        <w:rPr>
          <w:color w:val="555555"/>
          <w:sz w:val="18"/>
        </w:rPr>
        <w:t xml:space="preserve">Stand: 30.06.2020 (konsolidierte Textfassung, kein amtliches Inkrafttretensdatum)</w:t>
      </w:r>
    </w:p>
    <w:p>
      <w:r>
        <w:t xml:space="preserve">(1) Das Bundesministerium des Innern, für Bau und Heimat wird ermächtigt, zur Durchführung der §§ 3, 5 und 6 durch Rechtsverordnung mit Zustimmung des Bundesrates Vorschriften zu erlassen über</w:t>
      </w:r>
    </w:p>
    <w:p>
      <w:pPr>
        <w:ind w:left="420"/>
      </w:pPr>
      <w:r>
        <w:t xml:space="preserve">1. die Maße für das Patronen- und Kartuschenlager, den Übergang, die Feld- und Zugdurchmesser oder den Laufquerschnitt, den Laufinnendurchmesser und den Verschlussabstand (Maßtafeln), höchstzulässige Gebrauchsgasdrücke, Höchst- und Mindestenergien sowie die Bezeichnung der Munition und Treibladungen,</w:t>
      </w:r>
    </w:p>
    <w:p>
      <w:pPr>
        <w:ind w:left="420"/>
      </w:pPr>
      <w:r>
        <w:t xml:space="preserve">2. die Art und Durchführung der Beschussprüfung, die Gegenstände und Messmethoden sowie das Verfahren für diese Prüfung,</w:t>
      </w:r>
    </w:p>
    <w:p>
      <w:pPr>
        <w:ind w:left="420"/>
      </w:pPr>
      <w:r>
        <w:t xml:space="preserve">3. die Art, Form und Aufbringung der Prüfzeichen,</w:t>
      </w:r>
    </w:p>
    <w:p>
      <w:pPr>
        <w:ind w:left="420"/>
      </w:pPr>
      <w:r>
        <w:t xml:space="preserve">4. die Einführung einer freiwilligen Beschussprüfung für Feuerwaffen,</w:t>
      </w:r>
    </w:p>
    <w:p>
      <w:pPr>
        <w:ind w:left="420"/>
      </w:pPr>
      <w:r>
        <w:t xml:space="preserve">5. die Einbeziehung weiterer Teile von Feuerwaffen in die Beschussprüfung.</w:t>
      </w:r>
    </w:p>
    <w:p>
      <w:r>
        <w:t xml:space="preserve">(2) Das Bundesministerium des Innern, für Bau und Heimat wird ermächtigt, durch Rechtsverordnung mit Zustimmung des Bundesrates zur Durchführung der §§ 7 bis 11</w:t>
      </w:r>
    </w:p>
    <w:p>
      <w:pPr>
        <w:ind w:left="420"/>
      </w:pPr>
      <w:r>
        <w:t xml:space="preserve">1. zu bestimmen, welche technischen Anforderungen</w:t>
      </w:r>
    </w:p>
    <w:p>
      <w:pPr>
        <w:ind w:left="780"/>
      </w:pPr>
      <w:r>
        <w:t xml:space="preserve">a) an die Bauart einer Feuerwaffe oder eines Einstecklaufes nach § 7 Abs. 1 oder § 8 Abs. 2 und 3,</w:t>
      </w:r>
    </w:p>
    <w:p>
      <w:pPr>
        <w:ind w:left="780"/>
      </w:pPr>
      <w:r>
        <w:t xml:space="preserve">b) an einen Gegenstand nach § 9 Abs. 1 und 2,</w:t>
      </w:r>
    </w:p>
    <w:p>
      <w:pPr>
        <w:ind w:left="780"/>
      </w:pPr>
      <w:r>
        <w:t xml:space="preserve">c) an die Zusammensetzung, Beschaffenheit, die Maße und den höchsten Gebrauchsgasdruck von pyrotechnischer Munition nach § 10 Abs. 1 und 3 Nr. 2 und</w:t>
      </w:r>
    </w:p>
    <w:p>
      <w:pPr>
        <w:ind w:left="780"/>
      </w:pPr>
      <w:r>
        <w:t xml:space="preserve">d) an die Beschaffenheit der Prüfgeräte für Patronen- und Kartuschenmunition und Treibladungen nach § 11 Abs. 1</w:t>
      </w:r>
    </w:p>
    <w:p>
      <w:pPr>
        <w:ind w:left="420"/>
      </w:pPr>
      <w:r>
        <w:t xml:space="preserve">sowie welche Anforderungen an die Bezeichnung dieser Gegenstände zu stellen sind,</w:t>
      </w:r>
    </w:p>
    <w:p>
      <w:pPr>
        <w:ind w:left="420"/>
      </w:pPr>
      <w:r>
        <w:t xml:space="preserve">2. die Art und Durchführung der Zulassungsprüfungen und das Verfahren für die Prüfung und Zulassung zu regeln,</w:t>
      </w:r>
    </w:p>
    <w:p>
      <w:pPr>
        <w:ind w:left="420"/>
      </w:pPr>
      <w:r>
        <w:t xml:space="preserve">3. vorzuschreiben</w:t>
      </w:r>
    </w:p>
    <w:p>
      <w:pPr>
        <w:ind w:left="780"/>
      </w:pPr>
      <w:r>
        <w:t xml:space="preserve">a) periodische Kontrollen für Munition nach § 11 Abs. 1,</w:t>
      </w:r>
    </w:p>
    <w:p>
      <w:pPr>
        <w:ind w:left="780"/>
      </w:pPr>
      <w:r>
        <w:t xml:space="preserve">b) Kontrollen für Schussapparate und Einsteckläufe</w:t>
      </w:r>
    </w:p>
    <w:p>
      <w:pPr>
        <w:ind w:left="420"/>
      </w:pPr>
      <w:r>
        <w:t xml:space="preserve">sowie das Verfahren für diese Kontrollen zu regeln,</w:t>
      </w:r>
    </w:p>
    <w:p>
      <w:pPr>
        <w:ind w:left="420"/>
      </w:pPr>
      <w:r>
        <w:t xml:space="preserve">4. weitere Feuerwaffen oder Einsteckläufe in die Bauartprüfung und -zulassung einzubeziehen,</w:t>
      </w:r>
    </w:p>
    <w:p>
      <w:pPr>
        <w:ind w:left="420"/>
      </w:pPr>
      <w:r>
        <w:t xml:space="preserve">5. Vorschriften zu erlassen über</w:t>
      </w:r>
    </w:p>
    <w:p>
      <w:pPr>
        <w:ind w:left="780"/>
      </w:pPr>
      <w:r>
        <w:t xml:space="preserve">a) die Verpflichtung zur Aufbringung eines Zulassungszeichens sowie dessen Art und Form,</w:t>
      </w:r>
    </w:p>
    <w:p>
      <w:pPr>
        <w:ind w:left="780"/>
      </w:pPr>
      <w:r>
        <w:t xml:space="preserve">b) die Verpflichtung von Personen, die Munition im Sinne von § 11 Abs. 1 herstellen oder in den Geltungsbereich dieses Gesetzes verbringen, zur Durchführung von Fabrikationskontrollen,</w:t>
      </w:r>
    </w:p>
    <w:p>
      <w:pPr>
        <w:ind w:left="780"/>
      </w:pPr>
      <w:r>
        <w:t xml:space="preserve">c) Inhalt, Führung, Aufbewahrung und Vorlage von Aufzeichnungen über die in Buchstabe b genannten Kontrollen,</w:t>
      </w:r>
    </w:p>
    <w:p>
      <w:pPr>
        <w:ind w:left="780"/>
      </w:pPr>
      <w:r>
        <w:t xml:space="preserve">d) die Anordnung einer Kontrolle und die Untersagung des weiteren Vertriebs von</w:t>
      </w:r>
    </w:p>
    <w:p>
      <w:pPr>
        <w:ind w:left="1140"/>
      </w:pPr>
      <w:r>
        <w:t xml:space="preserve">aa) zugelassener Munition nach § 11 Abs. 1 durch die zuständige Behörde und</w:t>
      </w:r>
    </w:p>
    <w:p>
      <w:pPr>
        <w:ind w:left="1140"/>
      </w:pPr>
      <w:r>
        <w:t xml:space="preserve">bb) zugelassenen Feuerwaffen, Schussapparaten, Einsteckläufen und Einsätzen durch die Physikalisch-Technische Bundesanstalt,</w:t>
      </w:r>
    </w:p>
    <w:p>
      <w:pPr>
        <w:ind w:left="780"/>
      </w:pPr>
      <w:r>
        <w:t xml:space="preserve">wenn diese Gegenstände nicht den vorgeschriebenen Anforderungen entsprechen,</w:t>
      </w:r>
    </w:p>
    <w:p>
      <w:pPr>
        <w:ind w:left="780"/>
      </w:pPr>
      <w:r>
        <w:t xml:space="preserve">e) Ausnahmen von der Zulassung, der Fabrikationskontrolle und der periodischen Kontrolle von Treibladungen nach § 11 Abs. 1, wiedergeladener Munition, Beschussmunition und von Munitionstypen, die für besondere Zwecke oder bestimmte Empfänger hergestellt oder in den Geltungsbereich dieses Gesetzes verbracht werden,</w:t>
      </w:r>
    </w:p>
    <w:p>
      <w:pPr>
        <w:ind w:left="780"/>
      </w:pPr>
      <w:r>
        <w:t xml:space="preserve">f) Anforderungen an den Vertrieb und das Überlassen der in Buchstabe e bezeichneten Munition,</w:t>
      </w:r>
    </w:p>
    <w:p>
      <w:pPr>
        <w:ind w:left="780"/>
      </w:pPr>
      <w:r>
        <w:t xml:space="preserve">g) die Durchführung von Wiederholungsprüfungen für Schussapparate und Böller, die Unterhaltung von Einrichtungen zur Durchführung dieser Prüfungen, die Aufbringung eines Prüfzeichens und dessen Art und Form sowie die Beifügung einer von der Physikalisch-Technischen Bundesanstalt gebilligten Betriebsanleitung.</w:t>
      </w:r>
    </w:p>
    <w:p>
      <w:r>
        <w:t xml:space="preserve">Soweit die Rechtsverordnung Schussapparate betrifft, ergeht sie im Einvernehmen mit dem Bundesministerium für Arbeit und Soziales.</w:t>
      </w:r>
    </w:p>
    <w:p>
      <w:r>
        <w:t xml:space="preserve">(3) Das Bundesministerium des Innern, für Bau und Heimat wird ermächtigt, durch Rechtsverordnung mit Zustimmung des Bundesrates zur Abwehr von Gefahren für Leben oder Gesundheit von Menschen die zulässigen höchsten normalen und überhöhten Gebrauchsgasdrücke, die Mindestgasdrücke, die Höchst- und Mindestenergien und die Bezeichnung der Munition und der Treibladungen nach § 11 Abs. 1 festzulegen. Munition, die auf Grund ihrer Beschaffenheit eine schwere gesundheitliche Schädigung herbeiführt, die über die mit der üblichen mechanischen Wirkung verbundene Schädigung hinausgeht, sowie Reiz- und Wirkstoffe, die anhaltende gesundheitliche Schäden verursachen, dürfen nicht zugelassen werden.</w:t>
      </w:r>
    </w:p>
    <w:p>
      <w:r>
        <w:t xml:space="preserve">(4) Das Bundesministerium des Innern, für Bau und Heimat wird ermächtigt, durch Rechtsverordnung mit Zustimmung des Bundesrates zur Abwehr von Gefahren für Leben oder Gesundheit von Menschen vorzuschreiben, dass bei der Verbringung in den Geltungsbereich dieses Gesetzes oder bei der Herstellung von</w:t>
      </w:r>
    </w:p>
    <w:p>
      <w:pPr>
        <w:ind w:left="420"/>
      </w:pPr>
      <w:r>
        <w:t xml:space="preserve">1. Schusswaffen,</w:t>
      </w:r>
    </w:p>
    <w:p>
      <w:pPr>
        <w:ind w:left="420"/>
      </w:pPr>
      <w:r>
        <w:t xml:space="preserve">2. Gegenständen, die aus wesentlichen Teilen von Schusswaffen hergestellt werden, oder</w:t>
      </w:r>
    </w:p>
    <w:p>
      <w:pPr>
        <w:ind w:left="420"/>
      </w:pPr>
      <w:r>
        <w:t xml:space="preserve">3. Munition</w:t>
      </w:r>
    </w:p>
    <w:p>
      <w:r>
        <w:t xml:space="preserve">Anzeigen zu erstatten und den Anzeigen bestimmte Unterlagen oder Muster der bezeichneten Gegenstände beizufügen sind.</w:t>
      </w:r>
    </w:p>
    <w:p>
      <w:r>
        <w:t xml:space="preserve">(5) Das Bundesministerium des Innern, für Bau und Heimat wird ermächtigt, durch Rechtsverordnung mit Zustimmung des Bundesrates zur Abwehr von Gefahren für Leben oder Gesundheit von Menschen vorzuschreiben, dass</w:t>
      </w:r>
    </w:p>
    <w:p>
      <w:pPr>
        <w:ind w:left="420"/>
      </w:pPr>
      <w:r>
        <w:t xml:space="preserve">1. Munition und Geschosse in bestimmter Weise zu verpacken und zu lagern sind und</w:t>
      </w:r>
    </w:p>
    <w:p>
      <w:pPr>
        <w:ind w:left="420"/>
      </w:pPr>
      <w:r>
        <w:t xml:space="preserve">2. deren Bestandteile oder Ausgangsstoffe nur unter bestimmten Voraussetzungen vertrieben und anderen überlassen werden dürfen.</w:t>
      </w:r>
    </w:p>
    <w:p>
      <w:r>
        <w:t xml:space="preserve">(6) Das Bundesministerium des Innern, für Bau und Heimat wird ermächtigt, durch Rechtsverordnung mit Zustimmung des Bundesrates zur Abwehr von Gefahren für Leben oder Gesundheit von Menschen Vorschriften über</w:t>
      </w:r>
    </w:p>
    <w:p>
      <w:pPr>
        <w:ind w:left="420"/>
      </w:pPr>
      <w:r>
        <w:t xml:space="preserve">1. Gegenstände im Sinne von Anlage 1 Abschnitt 1 Unterabschnitt 2 Nr. 1.2.1, 1.2.2 und 2.2.1 zum Waffengesetz und über die Beschaffenheit und die Kennzeichnung von Geschossen, Kartuschenmunition oder sonstigen Gegenständen mit Reizstoffen und</w:t>
      </w:r>
    </w:p>
    <w:p>
      <w:pPr>
        <w:ind w:left="420"/>
      </w:pPr>
      <w:r>
        <w:t xml:space="preserve">2. die Zusammensetzung und höchstzulässige Menge von Reizstoffen im Sinne von Anlage 1 Abschnitt 1 Unterabschnitt 2 Nr. 1.2.2 zum Waffengesetz</w:t>
      </w:r>
    </w:p>
    <w:p>
      <w:r>
        <w:t xml:space="preserve">zu erlassen und die für die Prüfung zuständige Stelle zu bestimmen.</w:t>
      </w:r>
    </w:p>
    <w:p>
      <w:r>
        <w:rPr>
          <w:color w:val="555555"/>
          <w:sz w:val="17"/>
        </w:rPr>
        <w:t xml:space="preserve">Zitiervorschlag: § 14 BeschG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