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BeschG — Ausnahmen in Einzelfällen</w:t>
      </w:r>
    </w:p>
    <w:p>
      <w:r>
        <w:rPr>
          <w:color w:val="555555"/>
          <w:sz w:val="18"/>
        </w:rPr>
        <w:t xml:space="preserve">Beschussgesetz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Zulassung jeweils zuständige Behörde kann im Einzelfall Ausnahmen von dem Erfordernis der Prüfung und Zulassung nach § 7 Abs. 1, § 8 Abs. 1, § 9 Abs. 1, § 10 Abs. 1 oder § 11 Abs. 1 bewilligen oder Abweichungen von den Versagungsgründen des § 7 Abs. 3 oder 4, des § 8 Abs. 2 oder 3, des § 10 Abs. 3 Nr. 2 bis 4 oder des § 11 Abs. 3 Satz 1 Nr. 3 zulassen, wenn öffentliche Interessen nicht entgegenstehen.</w:t>
      </w:r>
    </w:p>
    <w:p>
      <w:r>
        <w:rPr>
          <w:color w:val="555555"/>
          <w:sz w:val="17"/>
        </w:rPr>
        <w:t xml:space="preserve">Zitiervorschlag: § 13 BeschG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