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BeschG — Überlassen und Verwenden beschuss- oder zulassungspflichtiger Gegenstände</w:t>
      </w:r>
    </w:p>
    <w:p>
      <w:r>
        <w:rPr>
          <w:color w:val="555555"/>
          <w:sz w:val="18"/>
        </w:rPr>
        <w:t xml:space="preserve">Beschussgesetz</w:t>
      </w:r>
    </w:p>
    <w:p>
      <w:r>
        <w:rPr>
          <w:color w:val="555555"/>
          <w:sz w:val="18"/>
        </w:rPr>
        <w:t xml:space="preserve">Stand: 10.06.2019 (konsolidierte Textfassung, kein amtliches Inkrafttretensdatum)</w:t>
      </w:r>
    </w:p>
    <w:p>
      <w:r>
        <w:t xml:space="preserve">(1) Feuerwaffen, Böller und höchstbeanspruchte Teile, die nach § 3 der Beschusspflicht unterliegen, dürfen anderen nur überlassen oder zum Schießen nur verwendet werden, wenn sie das amtliche Beschusszeichen tragen. Dies gilt nicht für das Überlassen dieser Gegenstände, wenn die zuständige Behörde bescheinigt, dass die amtliche Prüfung nicht durchgeführt werden kann.</w:t>
      </w:r>
    </w:p>
    <w:p>
      <w:r>
        <w:t xml:space="preserve">(2) Schusswaffen, Geräte, Einsätze, Einsteckläufe und Munition, die nach den §§ 7 bis 11 der Prüfung oder der Zulassung unterliegen, dürfen gewerbsmäßig anderen nur überlassen werden, wenn sie das vorgeschriebene Prüf- oder Zulassungszeichen tragen und, im Falle des § 10 Abs. 2, die Verwendungshinweise angebracht sind.</w:t>
      </w:r>
    </w:p>
    <w:p>
      <w:r>
        <w:rPr>
          <w:color w:val="555555"/>
          <w:sz w:val="17"/>
        </w:rPr>
        <w:t xml:space="preserve">Zitiervorschlag: § 12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