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BeschG — Zulassung sonstiger Munition</w:t>
      </w:r>
    </w:p>
    <w:p>
      <w:r>
        <w:rPr>
          <w:color w:val="555555"/>
          <w:sz w:val="18"/>
        </w:rPr>
        <w:t xml:space="preserve">Beschussgesetz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Munition im Sinne der Anlage 1 Abschnitt 1 Unterabschnitt 3 Nr. 1.1 bis 1.3 zum Waffengesetz darf gewerbsmäßig nur vertrieben oder anderen überlassen werden, wenn sie ihrem Typ und ihrer Bezeichnung nach von der zuständigen Behörde zugelassen ist.</w:t>
      </w:r>
    </w:p>
    <w:p>
      <w:r>
        <w:t xml:space="preserve">(2) Absatz 1 gilt nicht für</w:t>
      </w:r>
    </w:p>
    <w:p>
      <w:pPr>
        <w:ind w:left="420"/>
      </w:pPr>
      <w:r>
        <w:t xml:space="preserve">1. Munition aus Staaten, mit denen die gegenseitige Anerkennung der Prüfzeichen vereinbart ist und deren kleinste Verpackungseinheit ein Prüfzeichen eines dieser Staaten trägt,</w:t>
      </w:r>
    </w:p>
    <w:p>
      <w:pPr>
        <w:ind w:left="420"/>
      </w:pPr>
      <w:r>
        <w:t xml:space="preserve">2. Munition, die für wissenschaftliche Einrichtungen, Behörden, Waffen- Waffen- oder Munitionshersteller, als Teil einer Munitionssammlung (§ 17 Abs. 1 des Waffengesetzes) oder für eine solche bestimmt, oder in geringer Menge für gewerbliche Einführer von Munition, Händler oder behördlich anerkannte Sachverständige zu Prüf-, Mess- oder Forschungszwecken hergestellt oder ihnen zu diesem Zweck überlassen wird.</w:t>
      </w:r>
    </w:p>
    <w:p>
      <w:r>
        <w:t xml:space="preserve">(3) Die Zulassung ist zu versagen, wenn % 1.</w:t>
      </w:r>
    </w:p>
    <w:p>
      <w:pPr>
        <w:ind w:left="420"/>
      </w:pPr>
      <w:r>
        <w:t xml:space="preserve">der Antragsteller oder ein von ihm beauftragtes Fachinstitut nicht die zur Ermittlung der Maße, des Gebrauchsgasdrucks oder der Vergleichswerte erforderlichen Geräte besitzt,</w:t>
      </w:r>
    </w:p>
    <w:p>
      <w:pPr>
        <w:ind w:left="420"/>
      </w:pPr>
      <w:r>
        <w:t xml:space="preserve">2. der Antragsteller oder ein von ihm beauftragtes Fachinstitut nicht über das zur Bedienung der Prüfgeräte erforderliche Fachpersonal verfügt oder</w:t>
      </w:r>
    </w:p>
    <w:p>
      <w:pPr>
        <w:ind w:left="420"/>
      </w:pPr>
      <w:r>
        <w:t xml:space="preserve">3. die Prüfung der Munition ergibt, dass ihre Maße, ihr Gasdruck, die in ihr enthaltenen Reiz- oder Wirkstoffe und ihre Bezeichnung nicht den Anforderungen einer Rechtsverordnung nach § 14 Abs. 3 entsprechen.</w:t>
      </w:r>
    </w:p>
    <w:p>
      <w:r>
        <w:t xml:space="preserve">Die Zulassung wird nach Satz 1 Nr. 1 und 2 nicht versagt, wenn der Antragsteller die Überwachung der Herstellung der zuständigen Behörde übertragen hat.</w:t>
      </w:r>
    </w:p>
    <w:p>
      <w:r>
        <w:rPr>
          <w:color w:val="555555"/>
          <w:sz w:val="17"/>
        </w:rPr>
        <w:t xml:space="preserve">Zitiervorschlag: § 11 BeschG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