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BesatzRBerG — Folgen der Aufhebung</w:t>
      </w:r>
    </w:p>
    <w:p>
      <w:r>
        <w:rPr>
          <w:color w:val="555555"/>
          <w:sz w:val="18"/>
        </w:rPr>
        <w:t xml:space="preserve">Gesetz zur Bereinigung des Besatzungsrechts</w:t>
      </w:r>
    </w:p>
    <w:p>
      <w:r>
        <w:rPr>
          <w:color w:val="555555"/>
          <w:sz w:val="18"/>
        </w:rPr>
        <w:t xml:space="preserve">Stand: 10.06.2019 (konsolidierte Textfassung, kein amtliches Inkrafttretensdatum)</w:t>
      </w:r>
    </w:p>
    <w:p>
      <w:r>
        <w:t xml:space="preserve">Rechte und Pflichten, die durch gesetzgeberische, gerichtliche oder Verwaltungsmaßnahmen der Besatzungsbehörden oder auf Grund solcher Maßnahmen begründet oder festgestellt worden sind, bleiben von der Aufhebung unberührt und bestehen nach Artikel 2 Abs. 1 Satz 1 des Ersten Teils des Überleitungsvertrages fort. Durch die Aufhebung werden weder frühere Rechtszustände wiederhergestellt noch Wiederaufnahme-, Rücknahme- oder Widerrufstatbestände begründet. Tatbestandliche Voraussetzungen von Besatzungsrecht, die bis zum Inkrafttreten dieses Gesetzes nicht erfüllt worden sind, können nicht mehr erfüllt werden. Aufgehobene Rechtsvorschriften bleiben auch für die Zukunft auf Tatbestände und Rechtsverhältnisse anwendbar, die während der Geltung der Rechtsvorschriften erfüllt waren oder entstanden sind. Die Aufhebung von Besatzungsrecht lässt Verweisungen hierauf unberührt.</w:t>
      </w:r>
    </w:p>
    <w:p>
      <w:r>
        <w:rPr>
          <w:color w:val="555555"/>
          <w:sz w:val="17"/>
        </w:rPr>
        <w:t xml:space="preserve">Zitiervorschlag: § 3 BesatzRBerG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https://recht.nulegal.eu/gesetze/BesatzRBerG/3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