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BesatzRBerG — Aufhebung bundesrechtlicher Vorschriften über die Bereinigung von Besatzungsrecht</w:t>
      </w:r>
    </w:p>
    <w:p>
      <w:r>
        <w:rPr>
          <w:color w:val="555555"/>
          <w:sz w:val="18"/>
        </w:rPr>
        <w:t xml:space="preserve">Gesetz zur Bereinigung des Besatzungsrechts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Es werden aufgehoben:</w:t>
      </w:r>
    </w:p>
    <w:p>
      <w:pPr>
        <w:ind w:left="420"/>
      </w:pPr>
      <w:r>
        <w:t xml:space="preserve">1. das Erste Gesetz zur Aufhebung des Besatzungsrechts vom 30. Mai 1956 (BGBl. I S. 437; BGBl. III 104–1),</w:t>
      </w:r>
    </w:p>
    <w:p>
      <w:pPr>
        <w:ind w:left="420"/>
      </w:pPr>
      <w:r>
        <w:t xml:space="preserve">2. das Zweite Gesetz zur Aufhebung des Besatzungsrechts vom 30. Mai 1956 (BGBl. I S. 446; BGBl. III 104–2),</w:t>
      </w:r>
    </w:p>
    <w:p>
      <w:pPr>
        <w:ind w:left="420"/>
      </w:pPr>
      <w:r>
        <w:t xml:space="preserve">3. das Dritte Gesetz zur Aufhebung des Besatzungsrechts vom 23. Juli 1958 (BGBl. I S. 540; BGBl. III 104–3) und</w:t>
      </w:r>
    </w:p>
    <w:p>
      <w:pPr>
        <w:ind w:left="420"/>
      </w:pPr>
      <w:r>
        <w:t xml:space="preserve">4. das Vierte Gesetz zur Aufhebung des Besatzungsrechts vom 19. Dezember 1960 (BGBl. I S. 1015; BGBl. III 104–4).</w:t>
      </w:r>
    </w:p>
    <w:p>
      <w:r>
        <w:rPr>
          <w:color w:val="555555"/>
          <w:sz w:val="17"/>
        </w:rPr>
        <w:t xml:space="preserve">Zitiervorschlag: § 2 BesatzRBerG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https://recht.nulegal.eu/gesetze/BesatzRBerG/2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