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XI § 2 BesVNG 2 — Berlin-Klausel</w:t>
      </w:r>
    </w:p>
    <w:p>
      <w:r>
        <w:rPr>
          <w:color w:val="555555"/>
          <w:sz w:val="18"/>
        </w:rPr>
        <w:t xml:space="preserve">Zweites Gesetz zur Vereinheitlichung und Neuregelung des Besoldungsrechts in Bund und Ländern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XI § 2 BesVNG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https://recht.nulegal.eu/gesetze/BesVNG%202/xi-2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