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X § 2 BesVNG 2 — Überführung in die Bundesbesoldungsordnung C</w:t>
      </w:r>
    </w:p>
    <w:p>
      <w:r>
        <w:rPr>
          <w:color w:val="555555"/>
          <w:sz w:val="18"/>
        </w:rPr>
        <w:t xml:space="preserve">Zweites Gesetz zur Vereinheitlichung und Neuregelung des Besoldungsrechts in Bund und Ländern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besoldungsrechtliche Einordnung der in die Rechtsstellung von Professoren überzuleitenden oder zu übernehmenden Beamten gelten die nachfolgenden besonderen Vorschriften.</w:t>
      </w:r>
    </w:p>
    <w:p>
      <w:r>
        <w:t xml:space="preserve">(2) Die gemäß § 75 Abs. 2 und 3 des Hochschulrahmengesetzes in die Rechtsstellung von Professoren überzuleitenden oder zu übernehmenden Beamten sind durch die gemäß § 72 Abs. 1 des genannten Gesetzes zu erlassenden Landesgesetze nach folgenden Grundsätzen einzuordnen:</w:t>
      </w:r>
    </w:p>
    <w:p>
      <w:pPr>
        <w:ind w:left="420"/>
      </w:pPr>
      <w:r>
        <w:t xml:space="preserve">a) als Professor in die Besoldungsgruppe C 4Professoren an Hochschulen (außer Fachhochschulen) oder entsprechenden Einrichtungen in Besoldungsgruppen, deren Grundgehälter mindestens denen der Besoldungsgruppe A 16 entsprechen,Professoren an Hochschulen (außer Fachhochschulen) oder entsprechenden Einrichtungen, die nach geltendem Recht ein Sondergrundgehalt oder einen ruhegehaltfähigen Zuschuß zum Grundgehalt beziehen und dadurch das Endgrundgehalt der Besoldungsgruppe A 15 überschreiten,Professoren, die emeritierungsberechtigt sind und einer Besoldungsgruppe angehören, deren Grundgehälter mindestens denen der Besoldungsgruppe A 15 entsprechen,Direktoren von Kunsthochschulen in Besoldungsgruppen, deren Grundgehälter mindestens denen der Besoldungsgruppe A 16 entsprechen;</w:t>
      </w:r>
    </w:p>
    <w:p>
      <w:pPr>
        <w:ind w:left="420"/>
      </w:pPr>
      <w:r>
        <w:t xml:space="preserve">b) als Professor in die Besoldungsgruppe C 3die folgenden Beamten auf Lebenszeit:Abteilungsdirektoren (und Professoren),Abteilungsvorsteher (und Professoren), soweit sie sich in Besoldungsgruppen befinden, deren Grundgehälter mindestens denen der Besoldungsgruppe A 15 entsprechen,Wissenschaftliche Räte (und Professoren), soweit sie sich in Besoldungsgruppen befinden, deren Grundgehälter mindestens denen der Besoldungsgruppe A 15 entsprechen,Professoren an Hochschulen (außer Fachhochschulen), soweit sie sich in Besoldungsgruppen befinden, deren Grundgehälter mindestens denen der Besoldungsgruppe A 15 entsprechen, und nicht unter Buchstabe a fallen;</w:t>
      </w:r>
    </w:p>
    <w:p>
      <w:pPr>
        <w:ind w:left="420"/>
      </w:pPr>
      <w:r>
        <w:t xml:space="preserve">c) als Professor in die Besoldungsgruppe C 2die folgenden Beamten auf Lebenszeit, soweit sie nicht unter Buchstaben a oder b fallen:Abteilungsvorsteher (und Professoren),Wissenschaftliche Räte (und Professoren),Professoren an Hochschulen (außer Fachhochschulen),Dozenten an Hochschulen (außer Fachhochschulen) oder entsprechenden Einrichtungen.</w:t>
      </w:r>
    </w:p>
    <w:p>
      <w:r>
        <w:t xml:space="preserve">(3) Werden nachstehend genannte Beamte in das Amt des Professors übernommen, sind sie wie folgt einzuordnen:</w:t>
      </w:r>
    </w:p>
    <w:p>
      <w:pPr>
        <w:ind w:left="420"/>
      </w:pPr>
      <w:r>
        <w:t xml:space="preserve">a) in die Besoldungsgruppe C 3Leitende Oberärzte,Oberärzte,Dozenten an Hochschulen in der Stellung eines außerplanmäßigen Professors;</w:t>
      </w:r>
    </w:p>
    <w:p>
      <w:pPr>
        <w:ind w:left="420"/>
      </w:pPr>
      <w:r>
        <w:t xml:space="preserve">b) höchstens in die Besoldungsgruppe C 3andere Beamte in Besoldungsgruppen, deren Grundgehälter mindestens denen der Besoldungsgruppe A 15 entsprechen;</w:t>
      </w:r>
    </w:p>
    <w:p>
      <w:pPr>
        <w:ind w:left="420"/>
      </w:pPr>
      <w:r>
        <w:t xml:space="preserve">c) nach Maßgabe sachgerechter Bewertung in die Besoldungsgruppe C 2 oder C 3die nicht unter Buchstaben a und b bezeichneten Beamten; die Einordnung in die Besoldungsgruppe C 3 darf nur vorgenommen werden, soweit dadurch die in § 35 des Bundesbesoldungsgesetzes bezeichneten Obergrenzen nicht überschritten werden.</w:t>
      </w:r>
    </w:p>
    <w:p>
      <w:r>
        <w:rPr>
          <w:color w:val="555555"/>
          <w:sz w:val="17"/>
        </w:rPr>
        <w:t xml:space="preserve">Zitiervorschlag: Art X § 2 BesVNG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https://recht.nulegal.eu/gesetze/BesVNG%202/x-2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