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IX § 19 BesVNG 2 — Ortszuschlag für Kasernierte</w:t>
      </w:r>
    </w:p>
    <w:p>
      <w:r>
        <w:rPr>
          <w:color w:val="555555"/>
          <w:sz w:val="18"/>
        </w:rPr>
        <w:t xml:space="preserve">Zweites Gesetz zur Vereinheitlichung und Neuregelung des Besoldungsrechts in Bund und Ländern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Gemeinschaftsunterkünften wohnenden Beamten der Länder ein höherer Ortszuschlag gewährt wird als nach § 39 Abs. 2 des Bundesbesoldungsgesetzes, verbleibt es dabei.</w:t>
      </w:r>
    </w:p>
    <w:p>
      <w:r>
        <w:rPr>
          <w:color w:val="555555"/>
          <w:sz w:val="17"/>
        </w:rPr>
        <w:t xml:space="preserve">Zitiervorschlag: Art IX § 19 BesVNG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https://recht.nulegal.eu/gesetze/BesVNG%202/ix-19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