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IX § 14 BesVNG 2 — Aufhebung von besoldungsrechtlichen Vorschriften der Länder</w:t>
      </w:r>
    </w:p>
    <w:p>
      <w:r>
        <w:rPr>
          <w:color w:val="555555"/>
          <w:sz w:val="18"/>
        </w:rPr>
        <w:t xml:space="preserve">Zweites Gesetz zur Vereinheitlichung und Neuregelung des Besoldungsrechts in Bund und Ländern</w:t>
      </w:r>
    </w:p>
    <w:p>
      <w:r>
        <w:rPr>
          <w:color w:val="555555"/>
          <w:sz w:val="18"/>
        </w:rPr>
        <w:t xml:space="preserve">Stand: 10.06.2019 (konsolidierte Textfassung, kein amtliches Inkrafttretensdatum)</w:t>
      </w:r>
    </w:p>
    <w:p>
      <w:r>
        <w:t xml:space="preserve">(1) Die Rechtsvorschriften der Länder, soweit sie besoldungsrechtliche Vorschriften im Sinne des § 1 Abs. 1 bis 3 des Bundesbesoldungsgesetzes in der Fassung dieses Gesetzes enthalten, einschließlich des Gesetzes über die Amtsbezüge der Richter und Staatsanwälte vom 4. März 1970 (Gesetz- und Verordnungsblatt für das Land Hessen, Teil I S. 201), treten mit Ausnahme folgender Vorschriften außer Kraft:</w:t>
      </w:r>
    </w:p>
    <w:p>
      <w:pPr>
        <w:ind w:left="420"/>
      </w:pPr>
      <w:r>
        <w:t xml:space="preserve">1. Vorschriften, die nach dem Bundesbesoldungsgesetz in der Fassung dieses Gesetzes weiterhin von den Ländern getroffen werden können, einschließlich der Vorschriften über Sachbezüge und Aufwandsentschädigungen sowie der Ermächtigungen zum Erlaß von Rechts- oder Verwaltungsvorschriften.</w:t>
      </w:r>
    </w:p>
    <w:p>
      <w:pPr>
        <w:ind w:left="420"/>
      </w:pPr>
      <w:r>
        <w:t xml:space="preserve">2. Vorschriften über die Wahrung des Rechts- und Besitzstandes einschließlich der Vorschriften über Ausgleichszulagen und Ausgleichsabfindungen; diese Vorschriften dürfen nicht mehr zugunsten der Beamten und Richter geändert werden. Dies gilt nicht für Ämter in Zwischenbesoldungsgruppen.</w:t>
      </w:r>
    </w:p>
    <w:p>
      <w:pPr>
        <w:ind w:left="420"/>
      </w:pPr>
      <w:r>
        <w:t xml:space="preserve">3. Vorschriften über die Rechtsstellung der in den Landtag oder den Bundestag gewählten Beamten und Richter; solche Vorschriften können auch nach Inkrafttreten dieses Gesetzes noch erlassen werden.</w:t>
      </w:r>
    </w:p>
    <w:p>
      <w:pPr>
        <w:ind w:left="420"/>
      </w:pPr>
      <w:r>
        <w:t xml:space="preserve">4. Vorschriften über die Anrechnung anderen Arbeitseinkommens oder eines beamtenrechtlichen Unterhaltsbeitrags auf die Bezüge in den Fällen, in denen kein Dienst geleistet worden ist.</w:t>
      </w:r>
    </w:p>
    <w:p>
      <w:pPr>
        <w:ind w:left="420"/>
      </w:pPr>
      <w:r>
        <w:t xml:space="preserve">5. § 33 Abs. 2 des Landesbesoldungsgesetzes für das Land Baden-Württemberg,</w:t>
      </w:r>
    </w:p>
    <w:p>
      <w:pPr>
        <w:ind w:left="420"/>
      </w:pPr>
      <w:r>
        <w:t xml:space="preserve">6. § 4 Abs. 1 und Vorbemerkung Nr. 7 zur Besoldungsordnung A des Hamburgischen Besoldungsgesetzes,</w:t>
      </w:r>
    </w:p>
    <w:p>
      <w:pPr>
        <w:ind w:left="420"/>
      </w:pPr>
      <w:r>
        <w:t xml:space="preserve">7. § 25a und § 30 des Besoldungsgesetzes für das Land Niedersachsen.</w:t>
      </w:r>
    </w:p>
    <w:p>
      <w:r>
        <w:t xml:space="preserve">(2) Soweit nach dem Bundesbesoldungsgesetz in der Fassung dieses Gesetzes die Bundesregierung ermächtigt ist, durch Rechtsverordnung bestimmte Bereiche zu regeln, bleiben die Vorschriften der Länder für diese Bereiche bis zum Inkrafttreten der jeweiligen Rechtsverordnung der Bundesregierung, oder, soweit diese Rechtsverordnung durch Rechtsverordnungen der Landesregierungen ausgefüllt werden muß, bis zum Inkrafttreten dieser Rechtsverordnungen in Kraft.</w:t>
      </w:r>
    </w:p>
    <w:p>
      <w:r>
        <w:t xml:space="preserve">(3) Soweit dieses Gesetz die Länder zur Anpassung des Landesrechts an Bundesrecht verpflichtet, ist die Anpassung innerhalb von zwei Jahren nach Verkündung dieses Gesetzes unter Beachtung der in diesem Gesetz enthaltenen Vorschriften vorzunehmen. Dies gilt auch für die Ämter in Zwischenbesoldungsgruppen, soweit sie von den Ländern übergeleitet werden. § 80 des Bundesbesoldungsgesetzes in der Fassung dieses Gesetzes bleibt unberührt.</w:t>
      </w:r>
    </w:p>
    <w:p>
      <w:r>
        <w:rPr>
          <w:color w:val="555555"/>
          <w:sz w:val="17"/>
        </w:rPr>
        <w:t xml:space="preserve">Zitiervorschlag: Art IX § 14 BesVNG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https://recht.nulegal.eu/gesetze/BesVNG%202/ix-14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IX § 14 BesVNG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