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BesVNG 2 — Feststellungsverfahren</w:t>
      </w:r>
    </w:p>
    <w:p>
      <w:r>
        <w:rPr>
          <w:color w:val="555555"/>
          <w:sz w:val="18"/>
        </w:rPr>
        <w:t xml:space="preserve">Zweites Gesetz zur Vereinheitlichung und Neuregelung des Besoldungsrechts in Bund und Ländern</w:t>
      </w:r>
    </w:p>
    <w:p>
      <w:r>
        <w:rPr>
          <w:color w:val="555555"/>
          <w:sz w:val="18"/>
        </w:rPr>
        <w:t xml:space="preserve">Außer Kraft: § 5 ist seit 01.07.2020 nicht mehr im BesVNG 2 enthalten. Angezeigt wird die letzte bekannte Fassung, Stand 10.06.2019.</w:t>
      </w:r>
    </w:p>
    <w:p>
      <w:r>
        <w:t xml:space="preserve">(1) Die obersten Bundesbehörden oder die von ihnen ermächtigten Stellen und die für das Besoldungsrecht zuständigen Minister der Länder teilen dem Bundesminister des Innern bis zum 1. Oktober jeden Jahres die Zahl der Besoldungsberechtigten (§ 3 Abs. 1) am 1. Juli des Feststellungsjahres und den für diesen Personenkreis im Monat Juli des Feststellungsjahres entstandenen Besoldungsaufwand (§ 3 Abs. 1) mit. Die sachliche und rechnerische Richtigkeit der Angaben ist festzustellen.</w:t>
      </w:r>
    </w:p>
    <w:p>
      <w:r>
        <w:t xml:space="preserve">(2) Der Bundesminister des Innern stellt den Anpassungszuschlag fest und gibt diesen bis zum 1. November jeden Jahres im Bundesanzeiger bekannt.</w:t>
      </w:r>
    </w:p>
    <w:p>
      <w:r>
        <w:rPr>
          <w:color w:val="555555"/>
          <w:sz w:val="17"/>
        </w:rPr>
        <w:t xml:space="preserve">Zitiervorschlag: § 5 BesVNG 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https://recht.nulegal.eu/gesetze/BesVNG%202/5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