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VI BesVNG 1 — Berlin-Klausel</w:t>
      </w:r>
    </w:p>
    <w:p>
      <w:r>
        <w:rPr>
          <w:color w:val="555555"/>
          <w:sz w:val="18"/>
        </w:rPr>
        <w:t xml:space="preserve">Erstes Gesetz zur Vereinheitlichung und Neuregelung des Besoldungsrechts in Bund und Ländern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nach Maßgabe des § 13 Abs. 1 des Dritten Überleitungsgesetzes vom 4. Januar 1952 (Bundesgesetzbl. I S. 1) auch im Land Berlin. Rechtsverordnungen, die auf Grund dieses Gesetzes erlassen werden, gelten im Land Berlin nach § 14 des Dritten Überleitungsgesetzes.</w:t>
      </w:r>
    </w:p>
    <w:p>
      <w:r>
        <w:rPr>
          <w:color w:val="555555"/>
          <w:sz w:val="17"/>
        </w:rPr>
        <w:t xml:space="preserve">Zitiervorschlag: Art VI BesVNG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https://recht.nulegal.eu/gesetze/BesVNG%201/vi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