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V § 3 BesVNG 1</w:t>
      </w:r>
    </w:p>
    <w:p>
      <w:r>
        <w:rPr>
          <w:color w:val="555555"/>
          <w:sz w:val="18"/>
        </w:rPr>
        <w:t xml:space="preserve">Erstes Gesetz zur Vereinheitlichung und Neuregelung des Besoldungsrechts in Bund und 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§ 1 Abs. 2 dieses Abschnitts gilt entsprechend für § 18 Abs. 1 des Soldatenversorgungsgesetzes.</w:t>
      </w:r>
    </w:p>
    <w:p>
      <w:r>
        <w:t xml:space="preserve">(3) Die Absätze 1 und 2 gelten nicht im Land Berlin.</w:t>
      </w:r>
    </w:p>
    <w:p>
      <w:r>
        <w:rPr>
          <w:color w:val="555555"/>
          <w:sz w:val="17"/>
        </w:rPr>
        <w:t xml:space="preserve">Zitiervorschlag: Art V § 3 BesVNG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https://recht.nulegal.eu/gesetze/BesVNG%201/v-3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V § 3 BesVNG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