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§ 4 BesVNG 1</w:t>
      </w:r>
    </w:p>
    <w:p>
      <w:r>
        <w:rPr>
          <w:color w:val="555555"/>
          <w:sz w:val="18"/>
        </w:rPr>
        <w:t xml:space="preserve">Erstes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die Stelle der Sätze der ruhegehaltfähigen Zulagen nach Anlage 2a dieses Gesetzes treten mit Wirkung vom Inkrafttreten dieses Abschnitts die nach Anlage 2b dieses Gesetzes maßgebenden Sätze.</w:t>
      </w:r>
    </w:p>
    <w:p>
      <w:r>
        <w:t xml:space="preserve">(2) Soweit in der Anlage 8 des Zweiten Gesetzes zur Neuregelung des Besoldungsrechts und in der Überleitungsübersicht nach Artikel 7 des Siebenten Gesetzes zur Änderung des Bundesbesoldungsgesetzes auf die ruhegehaltfähigen Zulagen nach Fußnote 2) zur Besoldungsgruppe 9 und nach Fußnote 1) zu den Besoldungsgruppen 10 und 11 der Bundesbesoldungsordnung A in der am 31. Dezember 1970 geltenden Fassung verwiesen wird, treten an ihre Stelle die entsprechenden Zulagen nach den §§ 5, 6 Abs. 1 und 2 dieses Abschnitts.</w:t>
      </w:r>
    </w:p>
    <w:p>
      <w:r>
        <w:rPr>
          <w:color w:val="555555"/>
          <w:sz w:val="17"/>
        </w:rPr>
        <w:t xml:space="preserve">Zitiervorschlag: Art IV § 4 BesVNG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https://recht.nulegal.eu/gesetze/BesVNG%201/iv-4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