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BesASO (Bayern) — Kurse</w:t>
      </w:r>
    </w:p>
    <w:p>
      <w:r>
        <w:rPr>
          <w:color w:val="555555"/>
          <w:sz w:val="18"/>
        </w:rPr>
        <w:t xml:space="preserve">Schulordnung für die Schulen besonderer Art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Pflichtunterricht wird außer in abschlussbezogenen Klassen nach Maßgabe der Stundentafeln in Kernkursen, in leistungsdifferenzierten Kursen und soweit in der Stundentafel vorgesehen, in Wahlpflichtkursen erteilt.</w:t>
      </w:r>
    </w:p>
    <w:p>
      <w:r>
        <w:t xml:space="preserve">(2) In Kernkursen wird der Unterricht im Klassenverband erteilt.</w:t>
      </w:r>
    </w:p>
    <w:p>
      <w:r>
        <w:t xml:space="preserve">(3) Leistungsdifferenzierte Kurse werden nur in den Fächern Deutsch, Mathematik und Englisch und nach folgenden Maßgaben eingerichtet:</w:t>
      </w:r>
    </w:p>
    <w:p>
      <w:r>
        <w:t xml:space="preserve">1. Die Differenzierung in allen Fächern kann frühestens in der ersten Unterrichtswoche im Dezember der Jahrgangsstufe 5 beginnen.</w:t>
      </w:r>
    </w:p>
    <w:p>
      <w:r>
        <w:t xml:space="preserve">2. In den Fächern Englisch und Mathematik ist spätestens mit Beginn der Jahrgangsstufe 6 in zwei Leistungsstufen und – soweit darüber hinaus in leistungsdifferenzierten Kursen unterrichtet wird – mit Beginn der Jahrgangsstufe 7 in drei Leistungsstufen zu differenzieren.</w:t>
      </w:r>
    </w:p>
    <w:p>
      <w:r>
        <w:t xml:space="preserve">3. Im Fach Deutsch ist – soweit über die Jahrgangsstufe 6 hinaus in leistungsdifferenzierten Kursen unterrichtet wird – spätestens mit Beginn der Jahrgangsstufe 7 in drei Leistungsstufen zu differenzieren. In den Jahrgangsstufen 5 und 6 kann statt der Differenzierung in Leistungsstufen eine flexible Differenzierung (Teilungsstunden) erfolgen.</w:t>
      </w:r>
    </w:p>
    <w:p>
      <w:r>
        <w:t xml:space="preserve">(4) Bei den Wahlpflichtkursen ist innerhalb des von der Schule angebotenen Unterrichts zu wählen. Art und Umfang der zu wählenden Wahlpflichtkurse richten sich, soweit nicht in den Stundentafeln der Anlagen 1 bis 3 geregelt, nach den angebotenen Ausbildungsrichtungen der Hauptschule, der Realschule oder des Gymnasiums.</w:t>
      </w:r>
    </w:p>
    <w:p>
      <w:r>
        <w:rPr>
          <w:color w:val="555555"/>
          <w:sz w:val="17"/>
        </w:rPr>
        <w:t xml:space="preserve">Zitiervorschlag: § 8 BesASO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https://recht.nulegal.eu/gesetze/BesASO/8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