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BesASO (Bayern) — Aufnahme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Voraussetzung für die Aufnahme in die Jahrgangsstufe 5 ist der erfolgreiche Besuch der Jahrgangsstufe 4 einer Grundschule.</w:t>
      </w:r>
    </w:p>
    <w:p>
      <w:r>
        <w:t xml:space="preserve">(2) Voraussetzung für die Aufnahme in eine höhere Jahrgangsstufe an den in § 1 Abs. 1 Nrn. 1 bis 3 aufgeführten Schulen ist der erfolgreiche Besuch der vorhergehenden Jahrgangsstufe einer anderen Schule; in abschlussbezogenen Klassen gelten die Aufnahmevorschriften der jeweils geltenden Schulordnungen, soweit diese Verordnung nichts anderes bestimmt.</w:t>
      </w:r>
    </w:p>
    <w:p>
      <w:r>
        <w:t xml:space="preserve">(3) Für die Zuweisung zu den Zügen der einzelnen Schularten der in § 1 Abs. 1 Nr. 4 und Abs. 2 aufgeführten Schulen gelten die Bestimmungen der jeweiligen Schulordnungen, soweit diese Verordnung nichts anderes bestimmt.</w:t>
      </w:r>
    </w:p>
    <w:p>
      <w:r>
        <w:rPr>
          <w:color w:val="555555"/>
          <w:sz w:val="17"/>
        </w:rPr>
        <w:t xml:space="preserve">Zitiervorschlag: § 5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