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BesASO (Bayern) — Anzuwendende Vorschriften</w:t>
      </w:r>
    </w:p>
    <w:p>
      <w:r>
        <w:rPr>
          <w:color w:val="555555"/>
          <w:sz w:val="18"/>
        </w:rPr>
        <w:t xml:space="preserve">Schulordnung für die Schulen besonderer Art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diese Verordnung nichts anderes bestimmt, gilt für die in § 1 Abs. 1 Nrn. 1 bis 3 aufgeführten Schulen die Gymnasialschulordnung (GSO). In abschlussbezogenen Klassen gelten, soweit diese Verordnung nichts anderes bestimmt, die Schulordnungen der jeweiligen Schulart.</w:t>
      </w:r>
    </w:p>
    <w:p>
      <w:r>
        <w:t xml:space="preserve">(2) Für die in § 1 Abs. 1 Nr. 4 und Abs. 2 aufgeführten Schulen gelten, soweit diese Verordnung nichts anderes bestimmt, die Schulordnungen der jeweiligen Schulart.</w:t>
      </w:r>
    </w:p>
    <w:p>
      <w:r>
        <w:t xml:space="preserve">(3) Für die Lehrerkonferenz, die Schülermitverantwortung, die Elternvertretung und das Schulforum gelten die entsprechenden Bestimmungen der Gymnasialschulordnung. Neben der Lehrerkonferenz werden gemäß Art. 58 Abs. 1 Satz 2 BayEUG für schulartspezifische Angelegenheiten Teillehrerkonferenzen gebildet; für die Teillehrerkonferenzen gelten die Schulordnungen der jeweiligen Schulart.</w:t>
      </w:r>
    </w:p>
    <w:p>
      <w:r>
        <w:rPr>
          <w:color w:val="555555"/>
          <w:sz w:val="17"/>
        </w:rPr>
        <w:t xml:space="preserve">Zitiervorschlag: § 3 BesASO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https://recht.nulegal.eu/gesetze/BesASO/3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