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BesASO (Bayern) — Wechsel nach der Jahrgangsstufe 5 des Hauptschulzugs in den Gymnasial- oder Realschulzug</w:t>
      </w:r>
    </w:p>
    <w:p>
      <w:r>
        <w:rPr>
          <w:color w:val="555555"/>
          <w:sz w:val="18"/>
        </w:rPr>
        <w:t xml:space="preserve">Schulordnung für die Schulen besonderer Art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der Jahrgangsstufe 5 des Hauptschulzugs kann auf Antrag der Erziehungsberechtigten eine Berechtigung für den Wechsel in den Gymnasial- oder Realschulzug ausgesprochen werden. Voraussetzung für eine Empfehlung nach Satz 1 ist ein Notendurchschnitt im Jahreszeugnis von 1,66 für den Gymnasialzug bzw. von 2,00 für den Realschulzug in den Fächern Deutsch, Englisch und Mathematik.</w:t>
      </w:r>
    </w:p>
    <w:p>
      <w:r>
        <w:rPr>
          <w:color w:val="555555"/>
          <w:sz w:val="17"/>
        </w:rPr>
        <w:t xml:space="preserve">Zitiervorschlag: § 20 BesASO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https://recht.nulegal.eu/gesetze/BesASO/20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