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BesASO (Bayern) — Zeugnisse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im Schuljahr erzielten Leistungen erhalten die Schüler und Schülerinnen der Jahrgangsstufen mit leistungsdifferenzierten Kursen Zeugnisse nach dem vom Staatsministerium für Unterricht und Kultus herausgegebenen Muster.</w:t>
      </w:r>
    </w:p>
    <w:p>
      <w:r>
        <w:t xml:space="preserve">(2) In das Abschlusszeugnis ist der Hinweis aufzunehmen, dass der Abschluss entsprechend der Vereinbarung über die Schularten und Bildungsgänge im Sekundarbereich I (Beschluss der Kultusministerkonferenz vom 3. Dezember 1993) erworben wurde und dass er einem Abschluss der Hauptschule oder der Realschule oder der Übergangsberechtigung in die Oberstufe eines Gymnasiums gleichgestellt ist.</w:t>
      </w:r>
    </w:p>
    <w:p>
      <w:r>
        <w:rPr>
          <w:color w:val="555555"/>
          <w:sz w:val="17"/>
        </w:rPr>
        <w:t xml:space="preserve">Zitiervorschlag: § 18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