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BesASO (Bayern) — Abgangszeugnis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Verlassen der Schule vor Erreichen eines der in § 16 genannten Abschlüsse wird ein Abgangszeugnis erstellt. In dem Abgangszeugnis, das auch als Übertrittszeugnis dienen kann, wird die Berechtigung zum Eintritt in die M-Klasse einer Hauptschule, in eine Realschule, ein Gymnasium oder eine Wirtschaftsschule bestätigt. Dabei sind</w:t>
      </w:r>
    </w:p>
    <w:p>
      <w:r>
        <w:t xml:space="preserve">1. in der Jahrgangsstufe 5, soweit noch nicht leistungsdifferenziert unterrichtet wird, die Regelungen der Volksschulordnung (VSO),</w:t>
      </w:r>
    </w:p>
    <w:p>
      <w:r>
        <w:t xml:space="preserve">2. in den Jahrgangsstufen 5, soweit leistungsdifferenziert unterrichtet wird, und 6 die Regelungen von § 13,</w:t>
      </w:r>
    </w:p>
    <w:p>
      <w:r>
        <w:t xml:space="preserve">3. in den Jahrgangsstufen 7 und 8, soweit noch nicht abschlussbezogen unterrichtet wird, die Regelungen von § 15 entsprechend anzuwenden.</w:t>
      </w:r>
    </w:p>
    <w:p>
      <w:r>
        <w:rPr>
          <w:color w:val="555555"/>
          <w:sz w:val="17"/>
        </w:rPr>
        <w:t xml:space="preserve">Zitiervorschlag: § 17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