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BesASO (Bayern) — Wahlpflichtkurse</w:t>
      </w:r>
    </w:p>
    <w:p>
      <w:r>
        <w:rPr>
          <w:color w:val="555555"/>
          <w:sz w:val="18"/>
        </w:rPr>
        <w:t xml:space="preserve">Schulordnung für die Schulen besonderer Art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einmalig mögliche Wechsel eines Wahlpflichtkurses ist nur zu Beginn eines Schuljahres, in Ausnahmefällen auch zu Beginn eines Schulhalbjahres möglich.</w:t>
      </w:r>
    </w:p>
    <w:p>
      <w:r>
        <w:t xml:space="preserve">(2) Beim Wechsel in einen bereits laufenden mehrjährigen Wahlpflichtkurs wird eine angemessene Nachholfrist – längstens ein Schulhalbjahr – ohne Bewertung der Leistungen zugebilligt. Im Zeugnis kann an Stelle einer Note eine entsprechende Bemerkung eingetragen werden.</w:t>
      </w:r>
    </w:p>
    <w:p>
      <w:r>
        <w:rPr>
          <w:color w:val="555555"/>
          <w:sz w:val="17"/>
        </w:rPr>
        <w:t xml:space="preserve">Zitiervorschlag: § 11 BesASO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https://recht.nulegal.eu/gesetze/BesASO/11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