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BesASO (Bayern) — Umstufung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Umstufung erfolgt in der Regel zu Beginn eines Schulhalbjahres.</w:t>
      </w:r>
    </w:p>
    <w:p>
      <w:r>
        <w:t xml:space="preserve">(2) Eine Aufstufung ist nur dann zulässig, wenn im letzten Halbjahr die Leistungen in der bisher besuchten Leistungsstufe</w:t>
      </w:r>
    </w:p>
    <w:p>
      <w:r>
        <w:t xml:space="preserve">1. die Note 1 ergeben oder</w:t>
      </w:r>
    </w:p>
    <w:p>
      <w:r>
        <w:t xml:space="preserve">2. die Note 2 ergeben und nach einer im Sitzungsprotokoll festzuhaltenden pädagogischen Beurteilung durch die fachlich zuständige Lehrkraft, die Anlagen Neigungen und Fähigkeiten des Schülers oder der Schülerin beschreibt, eine Aufstufung gerechtfertigt ist.</w:t>
      </w:r>
    </w:p>
    <w:p>
      <w:r>
        <w:t xml:space="preserve">(3) Eine Abstufung erfolgt, wenn im letzten Halbjahr die Leistungen in der bisher besuchten Leistungsstufe</w:t>
      </w:r>
    </w:p>
    <w:p>
      <w:r>
        <w:t xml:space="preserve">1. die Note 6 ergeben oder</w:t>
      </w:r>
    </w:p>
    <w:p>
      <w:r>
        <w:t xml:space="preserve">2. die Note 5 ergeben und nach einer pädagogischen Beurteilung gemäß Abs. 2 Nr. 2 eine Abstufung gerechtfertigt ist.</w:t>
      </w:r>
    </w:p>
    <w:p>
      <w:r>
        <w:t xml:space="preserve">(4) Bei einem Übergang von zwei auf drei Leistungsstufen erfolgt eine Abstufung, wenn im letzten Halbjahr die Leistungen in der bisher besuchten Leistungsstufe</w:t>
      </w:r>
    </w:p>
    <w:p>
      <w:r>
        <w:t xml:space="preserve">1. die Note 5 ergeben oder</w:t>
      </w:r>
    </w:p>
    <w:p>
      <w:r>
        <w:t xml:space="preserve">2. die Note 4 ergeben und nach einer pädagogischen Beurteilung gemäß Abs. 2 Nr. 2 eine Abstufung gerechtfertigt ist.</w:t>
      </w:r>
    </w:p>
    <w:p>
      <w:r>
        <w:t xml:space="preserve">(5) Bei Einstufung und Umstufung zu Beginn des zweiten Halbjahres gilt die Note des zweiten Halbjahres als Jahresfortgangsnote. Die Note des ersten Halbjahres wird im Jahreszeugnis nachrichtlich aufgenommen.</w:t>
      </w:r>
    </w:p>
    <w:p>
      <w:r>
        <w:rPr>
          <w:color w:val="555555"/>
          <w:sz w:val="17"/>
        </w:rPr>
        <w:t xml:space="preserve">Zitiervorschlag: § 10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