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BesASO (Bayern) — Geltungsbereich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Schulordnung gilt gemäß Art. 126 Abs. 1 und 2 BayEUG für folgende Schulen:</w:t>
      </w:r>
    </w:p>
    <w:p>
      <w:r>
        <w:t xml:space="preserve">1. Staatliche Gesamtschule Hollfeld,</w:t>
      </w:r>
    </w:p>
    <w:p>
      <w:r>
        <w:t xml:space="preserve">2. Städtische Willy-Brandt-Gesamtschule München,</w:t>
      </w:r>
    </w:p>
    <w:p>
      <w:r>
        <w:t xml:space="preserve">3. Städtische Schulartunabhängige Orientierungsstufe München-Neuperlach,</w:t>
      </w:r>
    </w:p>
    <w:p>
      <w:r>
        <w:t xml:space="preserve">4. Staatliche kooperative Gesamtschule Senefelder-Schule Treuchtlingen.</w:t>
      </w:r>
    </w:p>
    <w:p>
      <w:r>
        <w:t xml:space="preserve">(2) Für die private, staatlich anerkannte Ersatzschule Evangelische kooperative Gesamtschule Wilhelm-Löhe-Schule Nürnberg gilt diese Schulordnung gemäß Art. 126 Abs. 2 BayEUG im Rahmen der Art. 90, 92 Abs. 2 Nr. 2 und Abs. 5, Art. 93 und 100 Abs. 2 BayEUG.</w:t>
      </w:r>
    </w:p>
    <w:p>
      <w:r>
        <w:rPr>
          <w:color w:val="555555"/>
          <w:sz w:val="17"/>
        </w:rPr>
        <w:t xml:space="preserve">Zitiervorschlag: § 1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