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BesÜG — Regelungen für Beamtinnen und Beamte bei den Postnachfolgeunternehmen</w:t>
      </w:r>
    </w:p>
    <w:p>
      <w:r>
        <w:rPr>
          <w:color w:val="555555"/>
          <w:sz w:val="18"/>
        </w:rPr>
        <w:t xml:space="preserve">Besoldungsüberleitungsgesetz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(1) Beamtinnen und Beamte in den Besoldungsgruppen der Bundesbesoldungsordnung A, die bei den Postnachfolgeunternehmen beschäftigt sind, werden gemäß § 2 den Stufen oder Überleitungsstufen des Grundgehaltes zugeordnet.</w:t>
      </w:r>
    </w:p>
    <w:p>
      <w:r>
        <w:t xml:space="preserve">(2) Nach der Zuordnung zu den Stufen oder Überleitungsstufen des Grundgehaltes ist auf die Beträge der Anlage 1 dieses Gesetzes § 78 Abs. 1 des Bundesbesoldungsgesetzes anzuwenden. Es wird aber mindestens der Betrag aus Grundgehalt und der Zulage nach Vorbemerkung Nummer 27 Abs. 1 der Anlage I (Bundesbesoldungsordnungen A und B) des Bundesbesoldungsgesetzes in der am 30. Juni 2009 geltenden Fassung gezahlt.</w:t>
      </w:r>
    </w:p>
    <w:p>
      <w:r>
        <w:t xml:space="preserve">(3) Das Bundesministerium des Innern, für Bau und Heimat macht die sich nach Absatz 2 jeweils ergebenden Beträge im Bundesgesetzblatt bekannt.</w:t>
      </w:r>
    </w:p>
    <w:p>
      <w:r>
        <w:rPr>
          <w:color w:val="555555"/>
          <w:sz w:val="17"/>
        </w:rPr>
        <w:t xml:space="preserve">Zitiervorschlag: § 6 BesÜG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https://recht.nulegal.eu/gesetze/Bes%C3%9CG/6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