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BesÜG — Teilnahme der Grundgehaltssätze an Besoldungsanpassungen</w:t>
      </w:r>
    </w:p>
    <w:p>
      <w:r>
        <w:rPr>
          <w:color w:val="555555"/>
          <w:sz w:val="18"/>
        </w:rPr>
        <w:t xml:space="preserve">Besoldungsüberleitungsgesetz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Die Monatsbeträge der Anlagen nehmen an allgemeinen Anpassungen der Besoldung nach § 14 des Bundesbesoldungsgesetzes teil.</w:t>
      </w:r>
    </w:p>
    <w:p>
      <w:r>
        <w:t xml:space="preserve">(2) Das Bundesministerium des Innern, für Bau und Heimat macht die Monatsbeträge nach Absatz 1 in der jeweils geltenden Fassung im Bundesgesetzblatt bekannt.</w:t>
      </w:r>
    </w:p>
    <w:p>
      <w:r>
        <w:rPr>
          <w:color w:val="555555"/>
          <w:sz w:val="17"/>
        </w:rPr>
        <w:t xml:space="preserve">Zitiervorschlag: § 5a BesÜG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https://recht.nulegal.eu/gesetze/Bes%C3%9CG/5a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