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BesÜG — Aufstieg in eine Stufe des Grundgehaltes in den Besoldungsgruppen der Bundesbesoldungsordnung A</w:t>
      </w:r>
    </w:p>
    <w:p>
      <w:r>
        <w:rPr>
          <w:color w:val="555555"/>
          <w:sz w:val="18"/>
        </w:rPr>
        <w:t xml:space="preserve">Besoldungsüberleitungsgesetz</w:t>
      </w:r>
    </w:p>
    <w:p>
      <w:r>
        <w:rPr>
          <w:color w:val="555555"/>
          <w:sz w:val="18"/>
        </w:rPr>
        <w:t xml:space="preserve">Stand: 10.06.2019 (konsolidierte Textfassung, kein amtliches Inkrafttretensdatum)</w:t>
      </w:r>
    </w:p>
    <w:p>
      <w:r>
        <w:t xml:space="preserve">(1) Mit der Zuordnung zu einer Stufe des Grundgehaltes der Anlage 1 in der ab 1. Juli 2009 gültigen Fassung beginnt die für den Aufstieg maßgebende Erfahrungszeit nach § 27 Abs. 3 des Bundesbesoldungsgesetzes. Bei einer Zuordnung zur Stufe 5 auf der Grundlage von Dienstbezügen der Besoldungsgruppen A 7 bis A 12 wird ab dem Zeitpunkt, ab dem das Grundgehalt nach § 27 Abs. 2 des Bundesbesoldungsgesetzes in der am 30. Juni 2009 geltenden Fassung gestiegen wäre, der Betrag der Überleitungsstufe zur Stufe 6 gezahlt; Satz 1 bleibt unberührt. Bei einer Zuordnung zu einer Stufe auf der Grundlage von Dienstbezügen der Besoldungsgruppen A 2 bis A 5 und bei einer Zuordnung zur Stufe 7 auf der Grundlage von Dienstbezügen der Besoldungsgruppe A 6 wird die nächsthöhere Stufe zu dem Zeitpunkt erreicht, zu dem das Grundgehalt nach § 27 Abs. 2 des Bundesbesoldungsgesetzes in der am 30. Juni 2009 geltenden Fassung gestiegen wäre, wenn sich dadurch ein früherer Zeitpunkt als bei einem Aufstieg nach § 27 Abs. 3 des Bundesbesoldungsgesetzes ergibt. Mit Ausnahme der Angehörigen der Laufbahnen der Offiziere des Truppendienstes, des Militärmusikdienstes, des Sanitätsdienstes und des Geoinformationsdienstes der Bundeswehr gilt dies auch für Soldatinnen auf Zeit und Soldaten auf Zeit, die auf der Grundlage von Dienstbezügen der Besoldungsgruppen A 6 oder A 7 der Stufe 1 zugeordnet werden. Mit diesem Aufstieg beginnt die maßgebende Erfahrungszeit nach § 27 Abs. 3 des Bundesbesoldungsgesetzes.</w:t>
      </w:r>
    </w:p>
    <w:p>
      <w:r>
        <w:t xml:space="preserve">(2) Bei einer Zuordnung zu einer Überleitungsstufe wird die dazugehörige Stufe des Grundgehaltes zu dem Zeitpunkt erreicht, zu dem das Grundgehalt nach § 27 Abs. 2 des Bundesbesoldungsgesetzes in der am 30. Juni 2009 geltenden Fassung gestiegen wäre, spätestens jedoch zu dem Zeitpunkt, zu dem ein Aufstieg nach § 27 Abs. 3 des Bundesbesoldungsgesetzes in Verbindung mit Absatz 3 möglich wäre. Wenn die Zuordnung zu einer Überleitungsstufe auf der Grundlage von Dienstbezügen der Besoldungsgruppe A 15 oder A 16 erfolgt, gilt Satz 1 mit der Maßgabe, dass nicht die der Überleitungsstufe zugehörige Stufe des Grundgehaltes, sondern die nächsthöhere Stufe erreicht wird. Mit dem jeweiligen Aufstieg in eine Stufe des Grundgehaltes der Anlage 1 beginnt die für den Aufstieg maßgebende Erfahrungszeit nach § 27 Abs. 3 des Bundesbesoldungsgesetzes.</w:t>
      </w:r>
    </w:p>
    <w:p>
      <w:r>
        <w:t xml:space="preserve">(3) Die maßgebende Erfahrungszeit nach Absatz 1 Satz 1 und 5 sowie Absatz 2 Satz 3 beträgt für den Aufstieg von Stufe 2 nach Stufe 3 abweichend von § 27 Abs. 3 des Bundesbesoldungsgesetzes zwei Jahre.</w:t>
      </w:r>
    </w:p>
    <w:p>
      <w:r>
        <w:t xml:space="preserve">(4) In den Fällen des Absatzes 1 Satz 2 bis 4 und des Absatzes 2 verzögert sich der Aufstieg um Zeiten ohne Anspruch auf Dienstbezüge. Satz 1 gilt nicht für Zeiten nach § 28 Absatz 5 des Bundesbesoldungsgesetzes, soweit diese nicht bereits nach § 28 Abs. 3 Nr. 1 oder 2 des Bundesbesoldungsgesetzes in der bis zum 30. Juni 2009 geltenden Fassung berücksichtigt wurden.</w:t>
      </w:r>
    </w:p>
    <w:p>
      <w:r>
        <w:t xml:space="preserve">(5) (weggefallen)</w:t>
      </w:r>
    </w:p>
    <w:p>
      <w:r>
        <w:rPr>
          <w:color w:val="555555"/>
          <w:sz w:val="17"/>
        </w:rPr>
        <w:t xml:space="preserve">Zitiervorschlag: § 3 BesÜG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https://recht.nulegal.eu/gesetze/Bes%C3%9CG/3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