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BerlinFG — Bemessungsgrundlage</w:t>
      </w:r>
    </w:p>
    <w:p>
      <w:r>
        <w:rPr>
          <w:color w:val="555555"/>
          <w:sz w:val="18"/>
        </w:rPr>
        <w:t xml:space="preserve">Berlinförderungsgesetz 1990</w:t>
      </w:r>
    </w:p>
    <w:p>
      <w:r>
        <w:rPr>
          <w:color w:val="555555"/>
          <w:sz w:val="18"/>
        </w:rPr>
        <w:t xml:space="preserve">Stand: 10.06.2019 (konsolidierte Textfassung, kein amtliches Inkrafttretensdatum)</w:t>
      </w:r>
    </w:p>
    <w:p>
      <w:r>
        <w:t xml:space="preserve">(1) Zum Entgelt im Sinne dieses Gesetzes gehört nicht die Umsatzsteuer. § 10 Abs. 1 des Umsatzsteuergesetzes ist anzuwenden.</w:t>
      </w:r>
    </w:p>
    <w:p>
      <w:r>
        <w:t xml:space="preserve">(2) In § 1 treten an die Stelle der vereinbarten Entgelte die vereinnahmten Entgelte, wenn der Unternehmer die Umsatzsteuer nach vereinnahmten Entgelten berechnet. Anstatt des vereinbarten Entgelts ist das vereinnahmte Entgelt und der Tag der Vereinnahmung buchmäßig nachzuweisen. Bei einem Wechsel der Besteuerungsart dürfen Kürzungsbeträge nicht doppelt in Anspruch genommen werden.</w:t>
      </w:r>
    </w:p>
    <w:p>
      <w:r>
        <w:t xml:space="preserve">(3) Als Verrechnungsentgelt im Sinne des § 1a Abs. 1 ist der Betrag anzusetzen, den der Unternehmer hätte aufwenden müssen, um den in die westdeutsche Betriebsstätte verbrachten Gegenstand von einem fremden Unternehmer zu erhalten (Marktpreis ohne Umsatzsteuer). Ist ein Verrechnungsentgelt in dieser Weise nicht zu ermitteln, so sind der Kürzung höchstens 115 vom Hundert der nach den einkommensteuerlichen Vorschriften berechneten Herstellungskosten zugrunde zu legen.</w:t>
      </w:r>
    </w:p>
    <w:p>
      <w:r>
        <w:rPr>
          <w:color w:val="555555"/>
          <w:sz w:val="17"/>
        </w:rPr>
        <w:t xml:space="preserve">Zitiervorschlag: § 7 BerlinFG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https://recht.nulegal.eu/gesetze/BerlinFG/7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