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BergWoZSenkV — Inkrafttreten</w:t>
      </w:r>
    </w:p>
    <w:p>
      <w:r>
        <w:rPr>
          <w:color w:val="555555"/>
          <w:sz w:val="18"/>
        </w:rPr>
        <w:t xml:space="preserve">Bergarbeiterwohnungsbau-Zinssenkungsverordnung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1986 in Kraft.</w:t>
      </w:r>
    </w:p>
    <w:p>
      <w:r>
        <w:rPr>
          <w:color w:val="555555"/>
          <w:sz w:val="17"/>
        </w:rPr>
        <w:t xml:space="preserve">Zitiervorschlag: § 4 BergWoZSenkV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https://recht.nulegal.eu/gesetze/BergWoZSenkV/4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