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BergWoZSenkV — Senkung des Zinssatzes</w:t>
      </w:r>
    </w:p>
    <w:p>
      <w:r>
        <w:rPr>
          <w:color w:val="555555"/>
          <w:sz w:val="18"/>
        </w:rPr>
        <w:t xml:space="preserve">Bergarbeiterwohnungsbau-Zinssenkungsverordnung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der Zinssatz für Darlehen aus dem Treuhandvermögen des Bundes nach § 2 Abs. 1 der Verordnung über die Erhebung der Zinsen für Darlehen des Bundes zum Bergarbeiterwohnungsbau vom 11. Oktober 1982 (BGBl. I S. 1400) auf über 7 vom Hundert erhöht worden, wird er vom 1. Oktober 1986 an auf 7 vom Hundert herabgesetzt.</w:t>
      </w:r>
    </w:p>
    <w:p>
      <w:r>
        <w:t xml:space="preserve">(2) § 18b Abs. 2 und 3 des Wohnungsbindungsgesetzes ist sinngemäß anzuwenden.</w:t>
      </w:r>
    </w:p>
    <w:p>
      <w:r>
        <w:rPr>
          <w:color w:val="555555"/>
          <w:sz w:val="17"/>
        </w:rPr>
        <w:t xml:space="preserve">Zitiervorschlag: § 1 BergWoZSenkV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https://recht.nulegal.eu/gesetze/BergWoZSenkV/1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