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BergWoZErhV — Berlin-Klausel</w:t>
      </w:r>
    </w:p>
    <w:p>
      <w:r>
        <w:rPr>
          <w:color w:val="555555"/>
          <w:sz w:val="18"/>
        </w:rPr>
        <w:t xml:space="preserve">Verordnung über die Erhebung der Zinsen für Darlehen des Bundes zum Bergarbeiterwohnungsbau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in Verbindung mit § 33a des Wohnungsbindungsgesetzes auch im Land Berlin.</w:t>
      </w:r>
    </w:p>
    <w:p>
      <w:r>
        <w:rPr>
          <w:color w:val="555555"/>
          <w:sz w:val="17"/>
        </w:rPr>
        <w:t xml:space="preserve">Zitiervorschlag: § 5 BergWoZErhV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https://recht.nulegal.eu/gesetze/BergWoZErhV/5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