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BergWoZErhV — Sonderregelung für gemischte Förderung</w:t>
      </w:r>
    </w:p>
    <w:p>
      <w:r>
        <w:rPr>
          <w:color w:val="555555"/>
          <w:sz w:val="18"/>
        </w:rPr>
        <w:t xml:space="preserve">Verordnung über die Erhebung der Zinsen für Darlehen des Bundes zum Bergarbeiterwohnungsbau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darlehnsverwaltende Stelle hat bei der Begrenzung der Verzinsung den § 18c Abs. 1 des Wohnungsbindungsgesetzes anzuwenden; an die Stelle der Durchschnittsmiete tritt die Kappungsgrenze.</w:t>
      </w:r>
    </w:p>
    <w:p>
      <w:r>
        <w:rPr>
          <w:color w:val="555555"/>
          <w:sz w:val="17"/>
        </w:rPr>
        <w:t xml:space="preserve">Zitiervorschlag: § 4 BergWoZErhV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https://recht.nulegal.eu/gesetze/BergWoZErhV/4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