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BergRVÄndV</w:t>
      </w:r>
    </w:p>
    <w:p>
      <w:r>
        <w:rPr>
          <w:color w:val="555555"/>
          <w:sz w:val="18"/>
        </w:rPr>
        <w:t xml:space="preserve">Verordnung zur Änderung bergrechtlicher Verordnungen</w:t>
      </w:r>
    </w:p>
    <w:p>
      <w:r>
        <w:rPr>
          <w:color w:val="555555"/>
          <w:sz w:val="18"/>
        </w:rPr>
        <w:t xml:space="preserve">Stand: 10.06.2019 (konsolidierte Textfassung, kein amtliches Inkrafttretensdatum)</w:t>
      </w:r>
    </w:p>
    <w:p>
      <w:r>
        <w:t xml:space="preserve">Auf Grund der § 57c und 66 Satz 1 Nr. 1 Buchstabe b, Nr. 2, 3, 5, 6, 9, 10 und Satz 3, des § 67 Nr. 1 und 8 und des § 68 Abs. 2, in Verbindung mit § 126 Abs. 1 Satz 1 und Abs. 3 und den §§ 128 und 129 des Bundesberggesetzes vom 13. August 1980 (BGBl. I S. 1310), zuletzt geändert durch Artikel 23 des Gesetzes vom 18. Juni 1997 (BGBl. I S. 1430), verordnet das Bundesministerium für Wirtschaft im Einvernehmen mit dem Bundesministerium für Umwelt, Naturschutz und Reaktorsicherheit, soweit Vorschriften auf § 57c des Bundesberggesetzes beruhen, sowie im übrigen im Einvernehmen mit dem Bundesministerium für Arbeit und Sozialordnung und für den Bereich des Festlandsockels und der Küstengewässer im Einvernehmen mit dem Bundesministerium für Verkehr:</w:t>
      </w:r>
    </w:p>
    <w:p>
      <w:r>
        <w:rPr>
          <w:color w:val="555555"/>
          <w:sz w:val="17"/>
        </w:rPr>
        <w:t xml:space="preserve">Zitiervorschlag: Eingangsformel BergRVÄndV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https://recht.nulegal.eu/gesetze/BergRV%C3%84ndV/eingangsformel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