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BergMAusbV — Ausbildungsdauer, Fachrichtungen</w:t>
      </w:r>
    </w:p>
    <w:p>
      <w:r>
        <w:rPr>
          <w:color w:val="555555"/>
          <w:sz w:val="18"/>
        </w:rPr>
        <w:t xml:space="preserve">Verordnung über die Berufsausbildung zum Berg- und Maschinenmann und zur Berg- und Maschinenfrau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zwei Jahre. Es kann zwischen den Fachrichtungen</w:t>
      </w:r>
    </w:p>
    <w:p>
      <w:pPr>
        <w:ind w:left="420"/>
      </w:pPr>
      <w:r>
        <w:t xml:space="preserve">1. Vortrieb und Gewinnung und</w:t>
      </w:r>
    </w:p>
    <w:p>
      <w:pPr>
        <w:ind w:left="420"/>
      </w:pPr>
      <w:r>
        <w:t xml:space="preserve">2. Transport und Instandhaltung</w:t>
      </w:r>
    </w:p>
    <w:p>
      <w:r>
        <w:t xml:space="preserve">gewählt werden.</w:t>
      </w:r>
    </w:p>
    <w:p>
      <w:r>
        <w:rPr>
          <w:color w:val="555555"/>
          <w:sz w:val="17"/>
        </w:rPr>
        <w:t xml:space="preserve">Zitiervorschlag: § 2 BergMAusbV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