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BergMAusbV — Inkrafttreten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