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BergErmVO (Sachsen) — In-Kraft-Treten</w:t>
      </w:r>
    </w:p>
    <w:p>
      <w:r>
        <w:rPr>
          <w:color w:val="555555"/>
          <w:sz w:val="18"/>
        </w:rPr>
        <w:t xml:space="preserve">BBergG-Ermächtigungsverordnung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 Gleichzeitig tritt die Verordnung der Sächsischen Staatsregierung zur Übertragung von Ermächtigungen nach dem Bundesberggesetz (Ermächtigungsverordnung BBergG – BergErmVO) vom 3. November 1992 (SächsGVBl. S. 479) außer Kraft.</w:t>
      </w:r>
    </w:p>
    <w:p>
      <w:r>
        <w:t xml:space="preserve">Dresden, den 12. Dezember 2000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</w:t>
      </w:r>
    </w:p>
    <w:p>
      <w:r>
        <w:t xml:space="preserve">für Wirtschaft und Arbeit</w:t>
      </w:r>
    </w:p>
    <w:p>
      <w:r>
        <w:t xml:space="preserve">Dr. Kajo Schommer</w:t>
      </w:r>
    </w:p>
    <w:p>
      <w:r>
        <w:rPr>
          <w:color w:val="555555"/>
          <w:sz w:val="17"/>
        </w:rPr>
        <w:t xml:space="preserve">Zitiervorschlag: § 3 BergErmVO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https://recht.nulegal.eu/gesetze/BergErmVO/3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