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BergErmVO (Sachsen) — Übertragung von Zuständigkeiten auf das Sächsische Staatsministerium für Wirtschaft und Arbeit</w:t>
      </w:r>
    </w:p>
    <w:p>
      <w:r>
        <w:rPr>
          <w:color w:val="555555"/>
          <w:sz w:val="18"/>
        </w:rPr>
        <w:t xml:space="preserve">BBergG-Ermächtigungsverordnung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Ermächtigung der Staatsregierung nach § 32 Abs. 1 und 2 BBergG zum Erlass von Rechtsverordnungen wird auf das Staatsministerium für Wirtschaft und Arbeit übertragen.</w:t>
      </w:r>
    </w:p>
    <w:p>
      <w:r>
        <w:t xml:space="preserve">(2) Die Ermächtigung der Staatsregierung zur Bestimmung der zuständigen Behörden nach § 142 BBergG wird auf das Staatsministerium für Wirtschaft und Arbeit übertragen.</w:t>
      </w:r>
    </w:p>
    <w:p>
      <w:r>
        <w:rPr>
          <w:color w:val="555555"/>
          <w:sz w:val="17"/>
        </w:rPr>
        <w:t xml:space="preserve">Zitiervorschlag: § 1 BergErmVO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https://recht.nulegal.eu/gesetze/BergErmVO/1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