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BergArbWoFöG — Anwendung des Ersten und des Zweiten Wohnungsbaugesetzes</w:t>
      </w:r>
    </w:p>
    <w:p>
      <w:r>
        <w:rPr>
          <w:color w:val="555555"/>
          <w:sz w:val="18"/>
        </w:rPr>
        <w:t xml:space="preserve">Gesetz zur Förderung des Bergarbeiterwohnungsbaues im Kohlenbergbau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Bergarbeiterwohnungen sind öffentlich geförderte Wohnungen im Sinne des § 3 Abs. 4 des Ersten Wohnungsbaugesetzes oder des § 5 Abs. 1 des Zweiten Wohnungsbaugesetzes, auch wenn die Mittel ausschließlich für die erststellige Finanzierung gewährt werden. Die Vorschriften der §§ 16 bis 19, 24, 37 bis 39 und des § 40 Abs. 1 des Ersten Wohnungsbaugesetzes sowie die Vorschriften der §§ 19, 20, 23, 25 bis 26, 52, 53, 63, 75 bis 77, 80, des § 81 Satz 2 und des § 90 Abs. 3 bis 5 des Zweiten Wohnungsbaugesetzes sind nicht anzuwenden.</w:t>
      </w:r>
    </w:p>
    <w:p>
      <w:r>
        <w:rPr>
          <w:color w:val="555555"/>
          <w:sz w:val="17"/>
        </w:rPr>
        <w:t xml:space="preserve">Zitiervorschlag: § 21 BergArbWoFöG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https://recht.nulegal.eu/gesetze/BergArbWoF%C3%B6G/21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