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BeratungsG — Anerkennung von Schwangerschaftskonfliktberatungsstellen</w:t>
      </w:r>
    </w:p>
    <w:p>
      <w:r>
        <w:rPr>
          <w:color w:val="555555"/>
          <w:sz w:val="18"/>
        </w:rPr>
        <w:t xml:space="preserve">Schwangerschaftskonfliktgesetz</w:t>
      </w:r>
    </w:p>
    <w:p>
      <w:r>
        <w:rPr>
          <w:color w:val="555555"/>
          <w:sz w:val="18"/>
        </w:rPr>
        <w:t xml:space="preserve">Stand: 10.06.2019 (konsolidierte Textfassung, kein amtliches Inkrafttretensdatum)</w:t>
      </w:r>
    </w:p>
    <w:p>
      <w:r>
        <w:t xml:space="preserve">Eine Beratungsstelle darf nur anerkannt werden, wenn sie die Gewähr für eine fachgerechte Schwangerschaftskonfliktberatung nach § 5 bietet und zur Durchführung der Schwangerschaftskonfliktberatung nach § 6 in der Lage ist, insbesondere</w:t>
      </w:r>
    </w:p>
    <w:p>
      <w:pPr>
        <w:ind w:left="420"/>
      </w:pPr>
      <w:r>
        <w:t xml:space="preserve">1. über hinreichend persönlich und fachlich qualifiziertes und der Zahl nach ausreichendes Personal verfügt,</w:t>
      </w:r>
    </w:p>
    <w:p>
      <w:pPr>
        <w:ind w:left="420"/>
      </w:pPr>
      <w:r>
        <w:t xml:space="preserve">2. sicherstellt, daß zur Durchführung der Beratung erforderlichenfalls kurzfristig eine ärztlich, fachärztlich, psychologisch, sozialpädagogisch, sozialarbeiterisch oder juristisch ausgebildete Fachkraft hinzugezogen werden kann,</w:t>
      </w:r>
    </w:p>
    <w:p>
      <w:pPr>
        <w:ind w:left="420"/>
      </w:pPr>
      <w:r>
        <w:t xml:space="preserve">3. mit allen Stellen zusammenarbeitet, die öffentliche und private Hilfen für Mutter und Kind gewähren, und</w:t>
      </w:r>
    </w:p>
    <w:p>
      <w:pPr>
        <w:ind w:left="420"/>
      </w:pPr>
      <w:r>
        <w:t xml:space="preserve">4. mit keiner Einrichtung, in der Schwangerschaftsabbrüche vorgenommen werden, derart organisatorisch oder durch wirtschaftliche Interessen verbunden ist, daß hiernach ein materielles Interesse der Beratungseinrichtung an der Durchführung von Schwangerschaftsabbrüchen nicht auszuschließen ist.</w:t>
      </w:r>
    </w:p>
    <w:p>
      <w:r>
        <w:rPr>
          <w:color w:val="555555"/>
          <w:sz w:val="17"/>
        </w:rPr>
        <w:t xml:space="preserve">Zitiervorschlag: § 9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BeratungsG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