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BeratungsG — Einrichtungen zur Vornahme von Schwangerschaftsabbrüchen; Belästigungsverbot</w:t>
      </w:r>
    </w:p>
    <w:p>
      <w:r>
        <w:rPr>
          <w:color w:val="555555"/>
          <w:sz w:val="18"/>
        </w:rPr>
        <w:t xml:space="preserve">Schwangerschaftskonfliktgesetz</w:t>
      </w:r>
    </w:p>
    <w:p>
      <w:r>
        <w:rPr>
          <w:color w:val="555555"/>
          <w:sz w:val="18"/>
        </w:rPr>
        <w:t xml:space="preserve">Stand: 14.11.2024 (konsolidierte Textfassung, kein amtliches Inkrafttretensdatum)</w:t>
      </w:r>
    </w:p>
    <w:p>
      <w:r>
        <w:t xml:space="preserve">(1) Ein Schwangerschaftsabbruch darf nur in einer Einrichtung vorgenommen werden, in der auch die notwendige Nachbehandlung gewährleistet ist.</w:t>
      </w:r>
    </w:p>
    <w:p>
      <w:r>
        <w:t xml:space="preserve">(2) Die Länder stellen ein ausreichendes Angebot ambulanter und stationärer Einrichtungen zur Vornahme von Schwangerschaftsabbrüchen und den ungehinderten Zugang zu diesen sicher.</w:t>
      </w:r>
    </w:p>
    <w:p>
      <w:r>
        <w:t xml:space="preserve">(3) Es ist untersagt, in einem Bereich von 100 Metern um den Eingangsbereich der Einrichtungen zur Vornahme von Schwangerschaftsabbrüchen in einer für die Schwangeren wahrnehmbaren Weise, die geeignet ist, den Zugang zu den Einrichtungen durch die Schwangere zu beeinträchtigen,</w:t>
      </w:r>
    </w:p>
    <w:p>
      <w:pPr>
        <w:ind w:left="420"/>
      </w:pPr>
      <w:r>
        <w:t xml:space="preserve">1. der Schwangeren das Betreten der Einrichtung durch das Bereiten eines Hindernisses absichtlich zu erschweren,</w:t>
      </w:r>
    </w:p>
    <w:p>
      <w:pPr>
        <w:ind w:left="420"/>
      </w:pPr>
      <w:r>
        <w:t xml:space="preserve">2. der Schwangeren durch Ansprechen wissentlich eine Meinung zu ihrer Entscheidung über die Fortsetzung der Schwangerschaft aufzudrängen,</w:t>
      </w:r>
    </w:p>
    <w:p>
      <w:pPr>
        <w:ind w:left="420"/>
      </w:pPr>
      <w:r>
        <w:t xml:space="preserve">3. die Schwangere zu bedrängen, einzuschüchtern oder auf andere vergleichbare Weise erheblich unter Druck zu setzen, um sie in ihrer Entscheidung über die Fortsetzung der Schwangerschaft zu beeinflussen,</w:t>
      </w:r>
    </w:p>
    <w:p>
      <w:pPr>
        <w:ind w:left="420"/>
      </w:pPr>
      <w:r>
        <w:t xml:space="preserve">4. der Schwangeren Inhalte im Sinne des § 11 Absatz 3 des Strafgesetzbuches zu Schwangerschaft oder Schwangerschaftsabbruch zur unmittelbaren Wahrnehmung auszuhändigen, zu zeigen, zu Gehör zu bringen oder auf andere vergleichbare Weise zu übermitteln, wenn diese</w:t>
      </w:r>
    </w:p>
    <w:p>
      <w:pPr>
        <w:ind w:left="780"/>
      </w:pPr>
      <w:r>
        <w:t xml:space="preserve">a) unwahre Tatsachenbehauptungen enthalten oder</w:t>
      </w:r>
    </w:p>
    <w:p>
      <w:pPr>
        <w:ind w:left="780"/>
      </w:pPr>
      <w:r>
        <w:t xml:space="preserve">b) offensichtlich geeignet sind, bei einer Schwangeren eine erhebliche unmittelbare emotionale Reaktion wie insbesondere Furcht, Ekel, Scham oder ein Schuldgefühl auszulösen.</w:t>
      </w:r>
    </w:p>
    <w:p>
      <w:r>
        <w:t xml:space="preserve">(4) Es ist untersagt, das Personal der Einrichtungen zur Vornahme von Schwangerschaftsabbrüchen bei der Aufklärung über Schwangerschaftsabbrüche oder der Vornahme von Schwangerschaftsabbrüchen bewusst zu behindern.</w:t>
      </w:r>
    </w:p>
    <w:p>
      <w:r>
        <w:t xml:space="preserve">(5) Die Bundesärztekammer führt für den Bund eine Liste der Ärztinnen und Ärzte sowie der Krankenhäuser und Einrichtungen, die ihr mitgeteilt haben, dass sie Schwangerschaftsabbrüche unter den Voraussetzungen des § 218a Absatz 1 bis 3 des Strafgesetzbuches durchführen, und darf die zu diesem Zwecke erhobenen personenbezogenen Daten verarbeiten. Die Liste enthält auch Angaben über die jeweils angewendeten Methoden zur Durchführung eines Schwangerschaftsabbruchs, soweit diese mitgeteilt werden. Die Bundesärztekammer aktualisiert die Liste monatlich auf der Grundlage der ihr mitgeteilten Informationen, veröffentlicht sie im Internet und stellt sie der Bundeszentrale für gesundheitliche Aufklärung, dem Bundesamt für Familie und zivilgesellschaftliche Aufgaben und den Ländern zur Verfügung.</w:t>
      </w:r>
    </w:p>
    <w:p>
      <w:r>
        <w:rPr>
          <w:color w:val="555555"/>
          <w:sz w:val="17"/>
        </w:rPr>
        <w:t xml:space="preserve">Zitiervorschlag: § 13 BeratungsG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https://recht.nulegal.eu/gesetze/BeratungsG/13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