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BeratungsG — Berichtspflicht und Überprüfung der Schwangerschaftskonfliktberatungsstellen</w:t>
      </w:r>
    </w:p>
    <w:p>
      <w:r>
        <w:rPr>
          <w:color w:val="555555"/>
          <w:sz w:val="18"/>
        </w:rPr>
        <w:t xml:space="preserve">Schwangerschaftskonfliktgesetz</w:t>
      </w:r>
    </w:p>
    <w:p>
      <w:r>
        <w:rPr>
          <w:color w:val="555555"/>
          <w:sz w:val="18"/>
        </w:rPr>
        <w:t xml:space="preserve">Stand: 10.06.2019 (konsolidierte Textfassung, kein amtliches Inkrafttretensdatum)</w:t>
      </w:r>
    </w:p>
    <w:p>
      <w:r>
        <w:t xml:space="preserve">(1) Die Beratungsstellen sind verpflichtet, die ihrer Beratungstätigkeit zugrundeliegenden Maßstäbe und die dabei gesammelten Erfahrungen jährlich in einem schriftlichen Bericht niederzulegen.</w:t>
      </w:r>
    </w:p>
    <w:p>
      <w:r>
        <w:t xml:space="preserve">(2) Als Grundlage für den schriftlichen Bericht nach Absatz 1 hat die beratende Person über jedes Beratungsgespräch eine Aufzeichnung zu fertigen. Diese darf keine Rückschlüsse auf die Identität der Schwangeren und der zum Beratungsgespräch hinzugezogenen weiteren Personen ermöglichen. Sie hält den wesentlichen Inhalt der Beratung und angebotene Hilfsmaßnahmen fest.</w:t>
      </w:r>
    </w:p>
    <w:p>
      <w:r>
        <w:t xml:space="preserve">(3) Die zuständige Behörde hat mindestens im Abstand von drei Jahren zu überprüfen, ob die Voraussetzungen für die Anerkennung nach § 9 noch vorliegen. Sie kann sich zu diesem Zweck die Berichte nach Absatz 1 vorlegen lassen und Einsicht in die nach Absatz 2 anzufertigenden Aufzeichnungen nehmen. Liegt eine der Voraussetzungen des § 9 nicht mehr vor, ist die Anerkennung zu widerrufen.</w:t>
      </w:r>
    </w:p>
    <w:p>
      <w:r>
        <w:rPr>
          <w:color w:val="555555"/>
          <w:sz w:val="17"/>
        </w:rPr>
        <w:t xml:space="preserve">Zitiervorschlag: § 10 BeratungsG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https://recht.nulegal.eu/gesetze/BeratungsG/10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