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BeratVO (Nordrhein-Westfalen) — Übergangsvorschriften</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 15, 16 und 17 der Ersten Verordnung zur Durchführung des Landesforstgesetzes vom 3. November 1983 (GV. NRW. S. 580), zuletzt geändert durch Artikel 221 des Zweiten Befristungsgesetzes vom 5. April 2005 (GV. NRW. S. 274), werden aufgehoben.</w:t>
      </w:r>
    </w:p>
    <w:p>
      <w:r>
        <w:t xml:space="preserve">(2) Die Bestellung der Mitglieder der Forstausschüsse, die auf Grundlage des § 62 Landesforstgesetzes i.V.m. § 16 der Ersten Verordnung zur Durchführung des Landesforstgesetzes vom 3. November 1983 (GV. NRW. S. 580, ber. 1984 S. 60), zuletzt geändert durch Artikel 221 des Zweiten Befristungsgesetzes vom 5. April 2005 (GV. NRW. S. 274), bestellt worden sind, endet spätestens mit In-Kraft-Treten dieser Verordnung.</w:t>
      </w:r>
    </w:p>
    <w:p>
      <w:r>
        <w:rPr>
          <w:color w:val="555555"/>
          <w:sz w:val="17"/>
        </w:rPr>
        <w:t xml:space="preserve">Zitiervorschlag: § 9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