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BeratVO (Nordrhein-Westfalen) — Zusammensetzung der Beratungsorgane</w:t>
      </w:r>
    </w:p>
    <w:p>
      <w:r>
        <w:rPr>
          <w:color w:val="555555"/>
          <w:sz w:val="18"/>
        </w:rPr>
        <w:t xml:space="preserve">Beratungsverordnung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Forstausschuss besteht aus 23 Mitgliedern, er setzt sich zusammen aus</w:t>
      </w:r>
    </w:p>
    <w:p>
      <w:r>
        <w:t xml:space="preserve">1. acht Vertretern oder Vertreterinnen des Privatwaldes,</w:t>
      </w:r>
    </w:p>
    <w:p>
      <w:r>
        <w:t xml:space="preserve">2. drei Vertretern oder Vertreterinnen des Gemeindewaldes,</w:t>
      </w:r>
    </w:p>
    <w:p>
      <w:r>
        <w:t xml:space="preserve">3. einem Vertreter oder einer Vertreterin des Staatswaldes,</w:t>
      </w:r>
    </w:p>
    <w:p>
      <w:r>
        <w:t xml:space="preserve">4. einem Vertreter oder einer Vertreterin des Körperschaftswaldes (Wald der den Gemeinden nach § 37 Landesforstgesetz gleichgestellten juristischen Personen des öffentlichen Rechts),</w:t>
      </w:r>
    </w:p>
    <w:p>
      <w:r>
        <w:t xml:space="preserve">5. sechs Vertretern oder Vertreterinnen des Personals (Beamte, Angestellte, Arbeiter),</w:t>
      </w:r>
    </w:p>
    <w:p>
      <w:r>
        <w:t xml:space="preserve">6. einem Vertreter oder einer Vertreterin der anerkannten Naturschutzvereinigungen im Sinne des § 66 Absatz 1 des Landesnaturschutzgesetzes vom 21. Juli 2000 (GV. NRW. S. 568 in der jeweils geltenden Fassung,</w:t>
      </w:r>
    </w:p>
    <w:p>
      <w:r>
        <w:t xml:space="preserve">7. einem Vertreter oder einer Vertreterin der Holzwirtschaft,</w:t>
      </w:r>
    </w:p>
    <w:p>
      <w:r>
        <w:t xml:space="preserve">8. einer vom Ministerium beauftragten sachkundigen Person und</w:t>
      </w:r>
    </w:p>
    <w:p>
      <w:r>
        <w:t xml:space="preserve">9. einer Vertreterin oder einem Vertreter der forstlichen Dienstleistungsunternehmen.</w:t>
      </w:r>
    </w:p>
    <w:p>
      <w:r>
        <w:t xml:space="preserve">(2) Die Regionalkommission besteht aus</w:t>
      </w:r>
    </w:p>
    <w:p>
      <w:r>
        <w:t xml:space="preserve">1. vier Mitgliedern nach dem Verhältnis der Flächen des Privat-, Gemeinde- und Körperschaftswaldes,</w:t>
      </w:r>
    </w:p>
    <w:p>
      <w:r>
        <w:t xml:space="preserve">2. einem Vertreter oder einer Vertreterin des Staatswaldes,</w:t>
      </w:r>
    </w:p>
    <w:p>
      <w:r>
        <w:t xml:space="preserve">3. zwei Vertretern oder Vertreterinnen des Personals (Beamte, Angestellte, Arbeiter),</w:t>
      </w:r>
    </w:p>
    <w:p>
      <w:r>
        <w:t xml:space="preserve">4. einem Vertreter oder einer Vertreterin der anerkannten Naturschutzvereinigungen im Sinne des § 66 Absatz 1 des Landesnaturschutzgesetzes,</w:t>
      </w:r>
    </w:p>
    <w:p>
      <w:r>
        <w:t xml:space="preserve">5. einem Vertreter oder einer Vertreterin der Biologischen Stationen nach § 71 des Landesnaturschutzgesetzes,</w:t>
      </w:r>
    </w:p>
    <w:p>
      <w:r>
        <w:t xml:space="preserve">6. einem Vertreter oder einer Vertreterin der Holzwirtschaft und</w:t>
      </w:r>
    </w:p>
    <w:p>
      <w:r>
        <w:t xml:space="preserve">7. einer Vertreterin oder einem Vertreter der forstlichen Dienstleistungsunternehmen.</w:t>
      </w:r>
    </w:p>
    <w:p>
      <w:r>
        <w:t xml:space="preserve">In Forstamtsbezirken ohne Staatswald entfällt eine Vertretung des Staatswaldes.</w:t>
      </w:r>
    </w:p>
    <w:p>
      <w:r>
        <w:rPr>
          <w:color w:val="555555"/>
          <w:sz w:val="17"/>
        </w:rPr>
        <w:t xml:space="preserve">Zitiervorschlag: § 5 BeratVO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https://recht.nulegal.eu/gesetze/BeratVO/5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